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D9AB3" w14:textId="52E61049" w:rsidR="00D61A0C" w:rsidRDefault="00F9049E" w:rsidP="00591B48">
      <w:pPr>
        <w:pStyle w:val="CVName"/>
      </w:pPr>
      <w:r>
        <w:t>Joseph P. Hall</w:t>
      </w:r>
      <w:r w:rsidR="00EC3E7B">
        <w:t>, PhD</w:t>
      </w:r>
    </w:p>
    <w:p w14:paraId="66689C30" w14:textId="3AA28A3F" w:rsidR="00591B48" w:rsidRDefault="007F63D6" w:rsidP="007F63D6">
      <w:pPr>
        <w:jc w:val="center"/>
        <w:rPr>
          <w:sz w:val="20"/>
        </w:rPr>
      </w:pPr>
      <w:hyperlink r:id="rId7" w:history="1">
        <w:r w:rsidRPr="00AA41F1">
          <w:rPr>
            <w:rStyle w:val="Hyperlink"/>
            <w:sz w:val="20"/>
          </w:rPr>
          <w:t>josephphall.com</w:t>
        </w:r>
      </w:hyperlink>
      <w:r>
        <w:rPr>
          <w:sz w:val="20"/>
        </w:rPr>
        <w:t xml:space="preserve">      +1 (</w:t>
      </w:r>
      <w:r w:rsidR="000453D8">
        <w:rPr>
          <w:sz w:val="20"/>
        </w:rPr>
        <w:t>781</w:t>
      </w:r>
      <w:r>
        <w:rPr>
          <w:sz w:val="20"/>
        </w:rPr>
        <w:t xml:space="preserve">) </w:t>
      </w:r>
      <w:r w:rsidR="000453D8">
        <w:rPr>
          <w:sz w:val="20"/>
        </w:rPr>
        <w:t>715</w:t>
      </w:r>
      <w:r>
        <w:rPr>
          <w:sz w:val="20"/>
        </w:rPr>
        <w:t>-</w:t>
      </w:r>
      <w:r w:rsidR="000453D8">
        <w:rPr>
          <w:sz w:val="20"/>
        </w:rPr>
        <w:t>5862</w:t>
      </w:r>
      <w:r w:rsidR="00912782">
        <w:rPr>
          <w:sz w:val="20"/>
        </w:rPr>
        <w:t xml:space="preserve"> </w:t>
      </w:r>
      <w:r>
        <w:rPr>
          <w:sz w:val="20"/>
        </w:rPr>
        <w:t xml:space="preserve">   </w:t>
      </w:r>
      <w:r w:rsidR="000453D8">
        <w:rPr>
          <w:sz w:val="20"/>
        </w:rPr>
        <w:t xml:space="preserve"> </w:t>
      </w:r>
      <w:hyperlink r:id="rId8" w:history="1">
        <w:r w:rsidR="00EC3E7B" w:rsidRPr="00C508D3">
          <w:rPr>
            <w:rStyle w:val="Hyperlink"/>
            <w:sz w:val="20"/>
          </w:rPr>
          <w:t>jhall390@gatech.edu</w:t>
        </w:r>
      </w:hyperlink>
      <w:r w:rsidR="00E10F82">
        <w:rPr>
          <w:sz w:val="20"/>
        </w:rPr>
        <w:t xml:space="preserve">   </w:t>
      </w:r>
    </w:p>
    <w:p w14:paraId="16227E04" w14:textId="77777777" w:rsidR="00E10F82" w:rsidRPr="00E10F82" w:rsidRDefault="00E10F82" w:rsidP="00E10F82">
      <w:pPr>
        <w:jc w:val="center"/>
        <w:rPr>
          <w:sz w:val="20"/>
        </w:rPr>
      </w:pPr>
    </w:p>
    <w:p w14:paraId="563CD8C5" w14:textId="77777777" w:rsidR="00D61A0C" w:rsidRDefault="00D61A0C" w:rsidP="00591B48">
      <w:pPr>
        <w:pStyle w:val="CVSectionHeader"/>
        <w:spacing w:before="0"/>
      </w:pPr>
      <w:r>
        <w:t>ACADEMIC BACKground</w:t>
      </w:r>
    </w:p>
    <w:p w14:paraId="4678F26F" w14:textId="4343DFF4" w:rsidR="002F02B1" w:rsidRDefault="002F02B1" w:rsidP="002F02B1">
      <w:pPr>
        <w:pStyle w:val="CVBody"/>
        <w:spacing w:before="0"/>
      </w:pPr>
      <w:r>
        <w:t>20</w:t>
      </w:r>
      <w:r w:rsidR="00EC3E7B">
        <w:t>24</w:t>
      </w:r>
      <w:r>
        <w:t>– Present</w:t>
      </w:r>
      <w:r>
        <w:tab/>
      </w:r>
      <w:r w:rsidR="00EC3E7B">
        <w:rPr>
          <w:b/>
          <w:bCs/>
        </w:rPr>
        <w:t>Georgia Institute of Technology Scheller College of Business</w:t>
      </w:r>
      <w:r>
        <w:tab/>
      </w:r>
      <w:r w:rsidR="00EC3E7B">
        <w:t>Atlanta</w:t>
      </w:r>
      <w:r>
        <w:t xml:space="preserve">, </w:t>
      </w:r>
      <w:r w:rsidR="00EC3E7B">
        <w:t>Georgia</w:t>
      </w:r>
    </w:p>
    <w:p w14:paraId="28F95BC0" w14:textId="56D4392E" w:rsidR="002F02B1" w:rsidRDefault="00FC531D" w:rsidP="002F02B1">
      <w:pPr>
        <w:pStyle w:val="CVBody1stIndent"/>
        <w:spacing w:before="0"/>
        <w:ind w:left="1440"/>
        <w:contextualSpacing w:val="0"/>
      </w:pPr>
      <w:r>
        <w:rPr>
          <w:i/>
          <w:iCs/>
        </w:rPr>
        <w:t>Postdoctoral Fellow</w:t>
      </w:r>
      <w:r>
        <w:t>:</w:t>
      </w:r>
      <w:r w:rsidR="002F02B1">
        <w:t xml:space="preserve"> </w:t>
      </w:r>
      <w:r>
        <w:t xml:space="preserve">Financial Services Innovation Lab </w:t>
      </w:r>
    </w:p>
    <w:p w14:paraId="70C9C193" w14:textId="6DE4A9A7" w:rsidR="002F02B1" w:rsidRDefault="007B63E4" w:rsidP="002F02B1">
      <w:pPr>
        <w:pStyle w:val="CVBody1stIndent"/>
        <w:spacing w:before="0"/>
        <w:ind w:left="1440"/>
        <w:contextualSpacing w:val="0"/>
      </w:pPr>
      <w:r>
        <w:rPr>
          <w:i/>
          <w:iCs/>
        </w:rPr>
        <w:t xml:space="preserve">Main </w:t>
      </w:r>
      <w:r w:rsidR="00FC531D" w:rsidRPr="00FC531D">
        <w:rPr>
          <w:i/>
          <w:iCs/>
        </w:rPr>
        <w:t>Instructor</w:t>
      </w:r>
      <w:r>
        <w:t>:</w:t>
      </w:r>
      <w:r w:rsidR="00FC531D">
        <w:t xml:space="preserve"> MGT 4074: Fintech and Crypto Tokens </w:t>
      </w:r>
    </w:p>
    <w:p w14:paraId="2ABBE0D5" w14:textId="77777777" w:rsidR="002F02B1" w:rsidRDefault="002F02B1" w:rsidP="00E10F82">
      <w:pPr>
        <w:pStyle w:val="CVBody"/>
        <w:spacing w:before="0"/>
      </w:pPr>
    </w:p>
    <w:p w14:paraId="0F268CFA" w14:textId="14CDBE2D" w:rsidR="00E10F82" w:rsidRDefault="00E10F82" w:rsidP="00E10F82">
      <w:pPr>
        <w:pStyle w:val="CVBody"/>
        <w:spacing w:before="0"/>
      </w:pPr>
      <w:r>
        <w:t xml:space="preserve">2018 – </w:t>
      </w:r>
      <w:r w:rsidR="00EC3E7B">
        <w:t>2024</w:t>
      </w:r>
      <w:r>
        <w:tab/>
      </w:r>
      <w:r>
        <w:rPr>
          <w:b/>
          <w:bCs/>
        </w:rPr>
        <w:t>Stanford Graduate School of Business</w:t>
      </w:r>
      <w:r>
        <w:tab/>
        <w:t>Stanford, California</w:t>
      </w:r>
    </w:p>
    <w:p w14:paraId="34B45DF3" w14:textId="48A2B44C" w:rsidR="002F02B1" w:rsidRDefault="00E10F82" w:rsidP="00FE0640">
      <w:pPr>
        <w:pStyle w:val="CVBody1stIndent"/>
        <w:spacing w:before="0"/>
        <w:ind w:left="1440"/>
        <w:contextualSpacing w:val="0"/>
      </w:pPr>
      <w:r w:rsidRPr="00E10F82">
        <w:rPr>
          <w:i/>
          <w:iCs/>
        </w:rPr>
        <w:t>PhD</w:t>
      </w:r>
      <w:r>
        <w:rPr>
          <w:i/>
          <w:iCs/>
        </w:rPr>
        <w:t xml:space="preserve"> in Finance</w:t>
      </w:r>
      <w:r w:rsidR="005259D8">
        <w:t>. Advisor: Amit Seru</w:t>
      </w:r>
      <w:r w:rsidR="002F02B1">
        <w:t xml:space="preserve">. </w:t>
      </w:r>
    </w:p>
    <w:p w14:paraId="03A08BF1" w14:textId="5230D831" w:rsidR="00FE0640" w:rsidRDefault="002F02B1" w:rsidP="00FE0640">
      <w:pPr>
        <w:pStyle w:val="CVBody1stIndent"/>
        <w:spacing w:before="0"/>
        <w:ind w:left="1440"/>
        <w:contextualSpacing w:val="0"/>
      </w:pPr>
      <w:r>
        <w:t xml:space="preserve">Letter Writers: </w:t>
      </w:r>
      <w:r w:rsidR="0048286A">
        <w:t xml:space="preserve">Amit Seru, </w:t>
      </w:r>
      <w:r>
        <w:t xml:space="preserve">Greg Buchak, Benjamin Hébert, Arvind Krishnamurthy. </w:t>
      </w:r>
    </w:p>
    <w:p w14:paraId="4F7354AA" w14:textId="7B306428" w:rsidR="00FE0640" w:rsidRPr="00A4008B" w:rsidRDefault="00FE0640" w:rsidP="00FE0640">
      <w:pPr>
        <w:pStyle w:val="CVBody1stIndent"/>
        <w:spacing w:before="0"/>
        <w:ind w:left="1440"/>
        <w:contextualSpacing w:val="0"/>
      </w:pPr>
      <w:r>
        <w:t>Doll Graduate Fellow, Stanford Institute for Economic Policy Research</w:t>
      </w:r>
    </w:p>
    <w:p w14:paraId="3D841501" w14:textId="2F93DBF7" w:rsidR="00E10F82" w:rsidRPr="00E10F82" w:rsidRDefault="00E10F82" w:rsidP="00FE0640">
      <w:pPr>
        <w:pStyle w:val="CVBody1stIndent"/>
        <w:spacing w:before="0"/>
        <w:ind w:left="0"/>
        <w:contextualSpacing w:val="0"/>
        <w:rPr>
          <w:i/>
          <w:iCs/>
        </w:rPr>
      </w:pPr>
      <w:r w:rsidRPr="00E10F82">
        <w:rPr>
          <w:i/>
          <w:iCs/>
        </w:rPr>
        <w:t xml:space="preserve"> </w:t>
      </w:r>
    </w:p>
    <w:p w14:paraId="7754D6A7" w14:textId="6AB85AE6" w:rsidR="00D61A0C" w:rsidRDefault="00F9049E" w:rsidP="00591B48">
      <w:pPr>
        <w:pStyle w:val="CVBody"/>
        <w:spacing w:before="0"/>
      </w:pPr>
      <w:r>
        <w:t>2012</w:t>
      </w:r>
      <w:r w:rsidR="00805BF5">
        <w:t xml:space="preserve"> </w:t>
      </w:r>
      <w:r>
        <w:t>–</w:t>
      </w:r>
      <w:r w:rsidR="00805BF5">
        <w:t xml:space="preserve"> </w:t>
      </w:r>
      <w:r>
        <w:t>2016</w:t>
      </w:r>
      <w:r w:rsidR="00D61A0C">
        <w:tab/>
      </w:r>
      <w:r>
        <w:rPr>
          <w:b/>
          <w:bCs/>
        </w:rPr>
        <w:t>Harvard College</w:t>
      </w:r>
      <w:r>
        <w:tab/>
        <w:t>Cambridge, Massachusetts</w:t>
      </w:r>
    </w:p>
    <w:p w14:paraId="0CBBC3C0" w14:textId="0695E5B4" w:rsidR="00D61A0C" w:rsidRDefault="007744E2" w:rsidP="00591B48">
      <w:pPr>
        <w:pStyle w:val="CVJobTitle"/>
        <w:ind w:left="720" w:firstLine="720"/>
      </w:pPr>
      <w:r>
        <w:t>BA</w:t>
      </w:r>
      <w:r w:rsidR="00F9049E">
        <w:t xml:space="preserve"> in Economics. Secondary Field in Mathematical Sciences</w:t>
      </w:r>
    </w:p>
    <w:p w14:paraId="72D72DBF" w14:textId="4402E45C" w:rsidR="002302D7" w:rsidRDefault="00591B48" w:rsidP="002302D7">
      <w:pPr>
        <w:pStyle w:val="CVBody1stIndent"/>
        <w:spacing w:before="0"/>
        <w:ind w:left="1440"/>
        <w:contextualSpacing w:val="0"/>
      </w:pPr>
      <w:r>
        <w:t>GPA</w:t>
      </w:r>
      <w:r w:rsidR="008C5916">
        <w:t>: 3.82</w:t>
      </w:r>
      <w:r>
        <w:t xml:space="preserve">. </w:t>
      </w:r>
      <w:r>
        <w:rPr>
          <w:i/>
        </w:rPr>
        <w:t>Magna Cum Laude</w:t>
      </w:r>
      <w:r>
        <w:t xml:space="preserve"> </w:t>
      </w:r>
    </w:p>
    <w:p w14:paraId="3C590FDC" w14:textId="77777777" w:rsidR="00591B48" w:rsidRPr="00011FDF" w:rsidRDefault="00591B48" w:rsidP="00591B48">
      <w:pPr>
        <w:pStyle w:val="CVBody1stIndent"/>
        <w:spacing w:before="0"/>
        <w:ind w:left="1440"/>
        <w:contextualSpacing w:val="0"/>
      </w:pPr>
    </w:p>
    <w:p w14:paraId="3FC22FB5" w14:textId="77777777" w:rsidR="00D61A0C" w:rsidRDefault="00F9049E" w:rsidP="00591B48">
      <w:pPr>
        <w:pStyle w:val="CVBody"/>
        <w:spacing w:before="0"/>
      </w:pPr>
      <w:r>
        <w:t>2009</w:t>
      </w:r>
      <w:r w:rsidR="00805BF5">
        <w:t xml:space="preserve"> </w:t>
      </w:r>
      <w:r>
        <w:t>–</w:t>
      </w:r>
      <w:r w:rsidR="00805BF5">
        <w:t xml:space="preserve"> </w:t>
      </w:r>
      <w:r>
        <w:t>2012</w:t>
      </w:r>
      <w:r w:rsidR="00D61A0C">
        <w:tab/>
      </w:r>
      <w:r>
        <w:rPr>
          <w:b/>
          <w:bCs/>
        </w:rPr>
        <w:t>Buckingham Browne and Nichols School</w:t>
      </w:r>
      <w:r w:rsidR="00805BF5">
        <w:tab/>
        <w:t>Cambridge, Massachusetts</w:t>
      </w:r>
    </w:p>
    <w:p w14:paraId="17AD02DB" w14:textId="69A2E9CD" w:rsidR="00591B48" w:rsidRPr="009471A8" w:rsidRDefault="00591B48" w:rsidP="00591B48">
      <w:pPr>
        <w:pStyle w:val="CVBody1stIndent"/>
        <w:spacing w:before="0"/>
        <w:ind w:firstLine="720"/>
        <w:contextualSpacing w:val="0"/>
        <w:rPr>
          <w:i/>
          <w:iCs/>
        </w:rPr>
      </w:pPr>
      <w:r>
        <w:t>GPA: 3.9</w:t>
      </w:r>
      <w:r w:rsidR="009471A8">
        <w:t xml:space="preserve">. </w:t>
      </w:r>
      <w:r w:rsidR="009471A8">
        <w:rPr>
          <w:i/>
          <w:iCs/>
        </w:rPr>
        <w:t xml:space="preserve">Math Prize Winner </w:t>
      </w:r>
    </w:p>
    <w:p w14:paraId="635345B3" w14:textId="2F1C87DB" w:rsidR="00D61A0C" w:rsidRDefault="00D61A0C" w:rsidP="00603C45">
      <w:pPr>
        <w:pStyle w:val="CVBody1stIndent"/>
        <w:spacing w:before="0"/>
        <w:ind w:left="0"/>
        <w:contextualSpacing w:val="0"/>
      </w:pPr>
    </w:p>
    <w:p w14:paraId="64EA9FFC" w14:textId="77777777" w:rsidR="00603C45" w:rsidRDefault="00603C45" w:rsidP="00603C45">
      <w:pPr>
        <w:pStyle w:val="CVSectionHeader"/>
        <w:spacing w:before="0"/>
      </w:pPr>
      <w:r>
        <w:t>Research</w:t>
      </w:r>
    </w:p>
    <w:p w14:paraId="3E625594" w14:textId="02387535" w:rsidR="00146E7C" w:rsidRPr="00CE06A4" w:rsidRDefault="00CB70EF" w:rsidP="00480B36">
      <w:pPr>
        <w:pStyle w:val="CVBody1stIndent"/>
        <w:spacing w:before="0"/>
        <w:ind w:left="0"/>
        <w:contextualSpacing w:val="0"/>
        <w:rPr>
          <w:i/>
          <w:iCs/>
        </w:rPr>
      </w:pPr>
      <w:r>
        <w:rPr>
          <w:b/>
          <w:bCs/>
        </w:rPr>
        <w:t>Job Market Paper:</w:t>
      </w:r>
      <w:r>
        <w:t xml:space="preserve"> </w:t>
      </w:r>
      <w:r w:rsidR="00CE06A4">
        <w:rPr>
          <w:i/>
          <w:iCs/>
        </w:rPr>
        <w:t>Revealed Preference Discount Rates</w:t>
      </w:r>
    </w:p>
    <w:p w14:paraId="42754F2C" w14:textId="21FAF58E" w:rsidR="00146E7C" w:rsidRDefault="002E04B4" w:rsidP="00480B36">
      <w:pPr>
        <w:pStyle w:val="CVBody1stIndent"/>
        <w:spacing w:before="0"/>
        <w:ind w:left="0"/>
        <w:contextualSpacing w:val="0"/>
      </w:pPr>
      <w:r w:rsidRPr="002E04B4">
        <w:t>I provide an estimation procedure for time preferences in the presence of credit rationing, which is empirically ubiquitous. With credit is rationed, households are financially constrained and cannot equalize their marginal utility across time by borrowing, so the rates at which they borrow are not sufficient for point-identifying their time preferences, although they are informative of lower bounds to impatience. I highlight a channel by which indebted households can express their time preferences under credit rationing: by choosing their default decision. I show in a model that rates of time preference imply different response functions of default choice to short-term and long-term shocks to payment obligations. I derive sufficient statistics to estimate the discount rate and apply it to several settings and find that it often far exceeds borrowing rates.</w:t>
      </w:r>
    </w:p>
    <w:p w14:paraId="57D5ED49" w14:textId="77777777" w:rsidR="002E04B4" w:rsidRDefault="002E04B4" w:rsidP="00480B36">
      <w:pPr>
        <w:pStyle w:val="CVBody1stIndent"/>
        <w:spacing w:before="0"/>
        <w:ind w:left="0"/>
        <w:contextualSpacing w:val="0"/>
      </w:pPr>
    </w:p>
    <w:p w14:paraId="0BB8E3A0" w14:textId="7F8E8504" w:rsidR="00146E7C" w:rsidRDefault="00146E7C" w:rsidP="002E04B4">
      <w:pPr>
        <w:pStyle w:val="CVBody1stIndent"/>
        <w:spacing w:before="0"/>
        <w:ind w:left="0"/>
        <w:contextualSpacing w:val="0"/>
        <w:rPr>
          <w:b/>
          <w:bCs/>
        </w:rPr>
      </w:pPr>
      <w:r>
        <w:rPr>
          <w:b/>
          <w:bCs/>
        </w:rPr>
        <w:t>Publications</w:t>
      </w:r>
      <w:r w:rsidR="003A457F">
        <w:rPr>
          <w:b/>
          <w:bCs/>
        </w:rPr>
        <w:t>:</w:t>
      </w:r>
    </w:p>
    <w:p w14:paraId="0490C7C5" w14:textId="2AFFF0D8" w:rsidR="00146E7C" w:rsidRPr="00146E7C" w:rsidRDefault="00146E7C" w:rsidP="00146E7C">
      <w:pPr>
        <w:rPr>
          <w:sz w:val="22"/>
        </w:rPr>
      </w:pPr>
      <w:r w:rsidRPr="00146E7C">
        <w:rPr>
          <w:i/>
          <w:iCs/>
          <w:sz w:val="22"/>
        </w:rPr>
        <w:t>Discrimination Expectations in the Credit Market: Survey Evidence from India</w:t>
      </w:r>
      <w:r w:rsidRPr="00146E7C">
        <w:rPr>
          <w:sz w:val="22"/>
        </w:rPr>
        <w:t>. with Stefano Fiorin and Martin Kanz</w:t>
      </w:r>
      <w:r w:rsidRPr="00146E7C">
        <w:rPr>
          <w:b/>
          <w:bCs/>
          <w:sz w:val="22"/>
        </w:rPr>
        <w:t>. American Economic Association: Papers and Proceedings</w:t>
      </w:r>
      <w:r>
        <w:rPr>
          <w:b/>
          <w:bCs/>
          <w:sz w:val="22"/>
        </w:rPr>
        <w:t xml:space="preserve"> Vol. 115, May 2025</w:t>
      </w:r>
      <w:r>
        <w:rPr>
          <w:sz w:val="22"/>
        </w:rPr>
        <w:t xml:space="preserve">. </w:t>
      </w:r>
    </w:p>
    <w:p w14:paraId="63158862" w14:textId="36F5C766" w:rsidR="00146E7C" w:rsidRDefault="003A457F" w:rsidP="00480B36">
      <w:pPr>
        <w:pStyle w:val="CVBody1stIndent"/>
        <w:spacing w:before="0"/>
        <w:ind w:left="0"/>
        <w:contextualSpacing w:val="0"/>
      </w:pPr>
      <w:r w:rsidRPr="003A457F">
        <w:rPr>
          <w:b/>
          <w:bCs/>
        </w:rPr>
        <w:t>Abstract</w:t>
      </w:r>
      <w:r w:rsidRPr="003A457F">
        <w:t>: We present results from a representative survey and an information experiment to provide evidence on discrimination expectations. We find that discrimination based on gender, caste, and religion is perceived to be widespread in society overall and in the credit market. Support for affirmative action is shaped by the extent of expected discrimination against a group and by respondents’ own group identity and social attitudes. Information about the true extent of discrimination is effective in correcting inaccurate discrimination expectations but has no meaningful impact on support for policies designed to reduce discrimination in practice.</w:t>
      </w:r>
    </w:p>
    <w:p w14:paraId="0FEC494C" w14:textId="77777777" w:rsidR="003A457F" w:rsidRDefault="003A457F" w:rsidP="00480B36">
      <w:pPr>
        <w:pStyle w:val="CVBody1stIndent"/>
        <w:spacing w:before="0"/>
        <w:ind w:left="0"/>
        <w:contextualSpacing w:val="0"/>
      </w:pPr>
    </w:p>
    <w:p w14:paraId="5FB25255" w14:textId="58E821CB" w:rsidR="00563BAE" w:rsidRPr="00563BAE" w:rsidRDefault="0096452E" w:rsidP="002E04B4">
      <w:pPr>
        <w:pStyle w:val="CVBody1stIndent"/>
        <w:spacing w:before="0"/>
        <w:ind w:left="0"/>
        <w:contextualSpacing w:val="0"/>
        <w:rPr>
          <w:b/>
          <w:bCs/>
        </w:rPr>
      </w:pPr>
      <w:r>
        <w:rPr>
          <w:b/>
          <w:bCs/>
        </w:rPr>
        <w:t>Active Journal Revisions</w:t>
      </w:r>
      <w:r w:rsidR="00563BAE">
        <w:rPr>
          <w:b/>
          <w:bCs/>
        </w:rPr>
        <w:t>:</w:t>
      </w:r>
    </w:p>
    <w:p w14:paraId="7217E0FC" w14:textId="7157BEB3" w:rsidR="00563BAE" w:rsidRPr="003A457F" w:rsidRDefault="00563BAE" w:rsidP="00563BAE">
      <w:pPr>
        <w:pStyle w:val="CVBody1stIndent"/>
        <w:spacing w:before="0"/>
        <w:ind w:left="0"/>
        <w:contextualSpacing w:val="0"/>
        <w:rPr>
          <w:b/>
          <w:bCs/>
        </w:rPr>
      </w:pPr>
      <w:r>
        <w:rPr>
          <w:i/>
          <w:iCs/>
        </w:rPr>
        <w:t>How do Borrowers Respond to a Debt Moratorium? Experimental Evidence from Consumer Loans in India</w:t>
      </w:r>
      <w:r>
        <w:t xml:space="preserve">. With Stefano Fiorin and Martin Kanz. </w:t>
      </w:r>
      <w:r w:rsidR="003A457F">
        <w:rPr>
          <w:b/>
          <w:bCs/>
        </w:rPr>
        <w:t xml:space="preserve">Revise and Resubmit: </w:t>
      </w:r>
      <w:r w:rsidR="00FD69FF">
        <w:rPr>
          <w:b/>
          <w:bCs/>
        </w:rPr>
        <w:t>Review of Financial Studies.</w:t>
      </w:r>
    </w:p>
    <w:p w14:paraId="41A7CE6F" w14:textId="797A27E1" w:rsidR="003A457F" w:rsidRDefault="003A457F" w:rsidP="00563BAE">
      <w:pPr>
        <w:pStyle w:val="CVBody1stIndent"/>
        <w:spacing w:before="0"/>
        <w:ind w:left="0"/>
        <w:contextualSpacing w:val="0"/>
      </w:pPr>
      <w:r>
        <w:rPr>
          <w:b/>
          <w:bCs/>
        </w:rPr>
        <w:t xml:space="preserve">Abstract: </w:t>
      </w:r>
      <w:r w:rsidRPr="003A457F">
        <w:t xml:space="preserve">We use a nationwide experiment in India to examine how debt moratoria affect loan repayment and banking relationships. In the experiment, consumer loan borrowers receive forbearance offers </w:t>
      </w:r>
      <w:r w:rsidRPr="003A457F">
        <w:lastRenderedPageBreak/>
        <w:t>presented either as an initiative of their lender or as the result of government regulation. Borrowers who receive a moratorium offer from their lender are 3.7 percentage points (8.6 percent) less likely to default on their loan than borrowers who receive an identical offer presented as the result of government regulation. Moratorium offers issued by a lender also causally increase trust in banks and demand for future interactions with the lender. In a follow-up experiment, demand for a non-credit product is 10 percentage points (27 percent) higher among customers who received a moratorium offer from their lender than among those who received a moratorium offer from the regulator. We explore mechanisms and show that the results are most consistent with a relational contracting explanation. Overall, our results suggest that forbearance can strengthen banking relationships not only for liquidity reasons but also for relational contracting reasons.</w:t>
      </w:r>
    </w:p>
    <w:p w14:paraId="74603945" w14:textId="3A2C13D5" w:rsidR="00563BAE" w:rsidRDefault="00563BAE" w:rsidP="00563BAE">
      <w:pPr>
        <w:pStyle w:val="CVBody1stIndent"/>
        <w:spacing w:before="0"/>
        <w:ind w:left="0"/>
        <w:contextualSpacing w:val="0"/>
      </w:pPr>
      <w:r>
        <w:t>2023 CEPR Discussion Paper 17994</w:t>
      </w:r>
      <w:r w:rsidR="000C0167">
        <w:t xml:space="preserve">. </w:t>
      </w:r>
    </w:p>
    <w:p w14:paraId="048BE2C2" w14:textId="238C52A1" w:rsidR="000C0167" w:rsidRDefault="000C0167" w:rsidP="00563BAE">
      <w:pPr>
        <w:pStyle w:val="CVBody1stIndent"/>
        <w:spacing w:before="0"/>
        <w:ind w:left="0"/>
        <w:contextualSpacing w:val="0"/>
      </w:pPr>
      <w:r>
        <w:t>Best Paper on Financial Institutions, Western Finance Association (2024)</w:t>
      </w:r>
      <w:r>
        <w:t>.</w:t>
      </w:r>
    </w:p>
    <w:p w14:paraId="0B4EE114" w14:textId="77777777" w:rsidR="003A457F" w:rsidRDefault="003A457F" w:rsidP="00480B36">
      <w:pPr>
        <w:pStyle w:val="CVBody1stIndent"/>
        <w:spacing w:before="0"/>
        <w:ind w:left="0"/>
        <w:contextualSpacing w:val="0"/>
      </w:pPr>
    </w:p>
    <w:p w14:paraId="37BDEB68" w14:textId="10FCD2BE" w:rsidR="00146E7C" w:rsidRPr="00146E7C" w:rsidRDefault="00146E7C" w:rsidP="002E04B4">
      <w:pPr>
        <w:pStyle w:val="CVBody1stIndent"/>
        <w:spacing w:before="0"/>
        <w:ind w:left="0"/>
        <w:contextualSpacing w:val="0"/>
        <w:rPr>
          <w:b/>
          <w:bCs/>
        </w:rPr>
      </w:pPr>
      <w:r>
        <w:rPr>
          <w:b/>
          <w:bCs/>
        </w:rPr>
        <w:t>Working Papers:</w:t>
      </w:r>
    </w:p>
    <w:p w14:paraId="65A891D6" w14:textId="1E179E03" w:rsidR="00480B36" w:rsidRPr="00146E7C" w:rsidRDefault="00146E7C" w:rsidP="00480B36">
      <w:pPr>
        <w:pStyle w:val="CVBody1stIndent"/>
        <w:spacing w:before="0"/>
        <w:ind w:left="0"/>
        <w:contextualSpacing w:val="0"/>
        <w:rPr>
          <w:i/>
          <w:iCs/>
        </w:rPr>
      </w:pPr>
      <w:r w:rsidRPr="00146E7C">
        <w:rPr>
          <w:i/>
          <w:iCs/>
        </w:rPr>
        <w:t>Credit Cards and Retail Firms: Historical Evidence from the U.S</w:t>
      </w:r>
      <w:r w:rsidR="0031302B">
        <w:rPr>
          <w:i/>
          <w:iCs/>
        </w:rPr>
        <w:t>.</w:t>
      </w:r>
    </w:p>
    <w:p w14:paraId="0F5F77E7" w14:textId="1BADA8C6" w:rsidR="00D67172" w:rsidRDefault="00146E7C" w:rsidP="002E04B4">
      <w:pPr>
        <w:pStyle w:val="CVBody1stIndent"/>
        <w:spacing w:before="0"/>
        <w:ind w:left="0"/>
        <w:contextualSpacing w:val="0"/>
      </w:pPr>
      <w:r>
        <w:rPr>
          <w:b/>
          <w:bCs/>
        </w:rPr>
        <w:t xml:space="preserve">Abstract: </w:t>
      </w:r>
      <w:r w:rsidRPr="00146E7C">
        <w:t xml:space="preserve">Before 1970, almost all short-term consumer credit in the United States was extended by </w:t>
      </w:r>
      <w:proofErr w:type="gramStart"/>
      <w:r w:rsidRPr="00146E7C">
        <w:t>merchants, but</w:t>
      </w:r>
      <w:proofErr w:type="gramEnd"/>
      <w:r w:rsidRPr="00146E7C">
        <w:t xml:space="preserve"> now is extended by banks in the form of credit cards. To evaluate the effects of this change on merchants, I start with a simple decomposition to show that the change in total profits amounts to whether the new technology reduced costs or reduced markups more. I estimate these changes using a natural experiment which exogenously accelerated bank credit card use relative to store credit card use: the 1978 Marquette decision. Usury (maximum interest rate) regulation effectively ended nationwide, differently affecting states based on pre-existing regulation of revolving short-term consumer debt. I estimate that a 20% decrease in merchant lending increased net entry (my preferred proxy for merchant profits) by about 4%, more so for small firms. I build a new microdata panel of retail establishments with new data on bank credit card acceptance constructed from archival Yellow Pages. I use heterogeneity in firms’ sales growth by whether they accept bank cards to identify a structural model where parameters disciplining costs and competition can each vary </w:t>
      </w:r>
      <w:proofErr w:type="gramStart"/>
      <w:r w:rsidRPr="00146E7C">
        <w:t>flexibly, and</w:t>
      </w:r>
      <w:proofErr w:type="gramEnd"/>
      <w:r w:rsidRPr="00146E7C">
        <w:t xml:space="preserve"> recover an estimate of a 2.7% reduction in firms’ marginal cost from accepting bank credit cards which is net of </w:t>
      </w:r>
      <w:proofErr w:type="spellStart"/>
      <w:r w:rsidRPr="00146E7C">
        <w:t>writeoffs</w:t>
      </w:r>
      <w:proofErr w:type="spellEnd"/>
      <w:r w:rsidRPr="00146E7C">
        <w:t xml:space="preserve"> and swipe fees. I conclude by presenting evidence that cost-reduction is created through banks’ lower labor costs and superior risk-bearing capacity versus firms.</w:t>
      </w:r>
    </w:p>
    <w:p w14:paraId="16342BCA" w14:textId="3703A4EA" w:rsidR="002E04B4" w:rsidRPr="004B38DD" w:rsidRDefault="002E04B4" w:rsidP="002E04B4">
      <w:pPr>
        <w:pStyle w:val="CVBody1stIndent"/>
        <w:ind w:left="0"/>
      </w:pPr>
      <w:r w:rsidRPr="004B38DD">
        <w:t>Best Paper by a Young Scholar, Georgia Tech-Atlanta Fed Household Finance Conference, 2024</w:t>
      </w:r>
      <w:r w:rsidR="00FB7B0B" w:rsidRPr="004B38DD">
        <w:t>.</w:t>
      </w:r>
    </w:p>
    <w:p w14:paraId="639935B8" w14:textId="1C6DAFF2" w:rsidR="002E04B4" w:rsidRPr="004B38DD" w:rsidRDefault="002E04B4" w:rsidP="002E04B4">
      <w:pPr>
        <w:pStyle w:val="CVBody1stIndent"/>
        <w:ind w:left="0"/>
      </w:pPr>
      <w:r w:rsidRPr="004B38DD">
        <w:t>Best Paper by a Young Scholar, Cherry Blossom Financial Institute Conference, 2024</w:t>
      </w:r>
      <w:r w:rsidR="00FB7B0B" w:rsidRPr="004B38DD">
        <w:t>.</w:t>
      </w:r>
    </w:p>
    <w:p w14:paraId="591EEA54" w14:textId="21DA8239" w:rsidR="002E04B4" w:rsidRPr="004B38DD" w:rsidRDefault="002E04B4" w:rsidP="002E04B4">
      <w:pPr>
        <w:pStyle w:val="CVBody1stIndent"/>
        <w:spacing w:before="0"/>
        <w:ind w:left="0"/>
        <w:contextualSpacing w:val="0"/>
      </w:pPr>
      <w:r w:rsidRPr="004B38DD">
        <w:t>Cited by Consumer Financial Protection Bureau Office of Markets: Dec 18, 2024 “The High Cost of Retail Credit Cards”</w:t>
      </w:r>
      <w:r w:rsidR="00FB7B0B" w:rsidRPr="004B38DD">
        <w:t>.</w:t>
      </w:r>
    </w:p>
    <w:p w14:paraId="0C884A17" w14:textId="77777777" w:rsidR="002E04B4" w:rsidRDefault="002E04B4" w:rsidP="002E04B4">
      <w:pPr>
        <w:pStyle w:val="CVBody1stIndent"/>
        <w:spacing w:before="0"/>
        <w:ind w:left="0"/>
        <w:contextualSpacing w:val="0"/>
      </w:pPr>
    </w:p>
    <w:p w14:paraId="01ADA23C" w14:textId="4B0F1737" w:rsidR="002E04B4" w:rsidRPr="002E04B4" w:rsidRDefault="002E04B4" w:rsidP="002E04B4">
      <w:pPr>
        <w:pStyle w:val="CVBody1stIndent"/>
        <w:spacing w:before="0"/>
        <w:ind w:left="0"/>
        <w:contextualSpacing w:val="0"/>
        <w:rPr>
          <w:b/>
          <w:bCs/>
        </w:rPr>
      </w:pPr>
      <w:r>
        <w:rPr>
          <w:b/>
          <w:bCs/>
        </w:rPr>
        <w:t>Work in Progress:</w:t>
      </w:r>
    </w:p>
    <w:p w14:paraId="0A310DDA" w14:textId="5094E2A1" w:rsidR="00603C45" w:rsidRDefault="00603C45" w:rsidP="00603C45">
      <w:pPr>
        <w:pStyle w:val="CVBody1stIndent"/>
        <w:spacing w:before="0"/>
        <w:ind w:left="0"/>
        <w:contextualSpacing w:val="0"/>
      </w:pPr>
      <w:r>
        <w:rPr>
          <w:i/>
          <w:iCs/>
        </w:rPr>
        <w:t>Lending to Lemons</w:t>
      </w:r>
      <w:r w:rsidR="002E04B4">
        <w:t>.</w:t>
      </w:r>
      <w:r>
        <w:t xml:space="preserve"> With Lulu Wang. </w:t>
      </w:r>
    </w:p>
    <w:p w14:paraId="4BBA49EA" w14:textId="71DBE335" w:rsidR="00603C45" w:rsidRDefault="00D11325" w:rsidP="00603C45">
      <w:pPr>
        <w:pStyle w:val="CVBodytwo"/>
        <w:spacing w:before="0"/>
        <w:ind w:left="0"/>
      </w:pPr>
      <w:r w:rsidRPr="00D11325">
        <w:t>We study asymmetric information between lenders in imperfectly competitive credit markets. With small business credit registry data, we estimate a model of lender screening, interest rate offers, and borrower demand. Using the Basel III accord as a marginal cost shock to some banks, we find that marginal cost increases can cause competitors to lower their prices. This identifies asymmetric information according to auction theory. We simulate the equilibrium effects of open banking policies that raise the information precision of non-bank lenders. While small improvements in information enhance competition and increase borrower surplus, large improvements lower both total and borrower surplus.</w:t>
      </w:r>
    </w:p>
    <w:p w14:paraId="7AF160F3" w14:textId="77777777" w:rsidR="00D11325" w:rsidRDefault="00D11325" w:rsidP="00603C45">
      <w:pPr>
        <w:pStyle w:val="CVBodytwo"/>
        <w:spacing w:before="0"/>
        <w:ind w:left="0"/>
      </w:pPr>
    </w:p>
    <w:p w14:paraId="038F4AD5" w14:textId="0D663644" w:rsidR="00A4008B" w:rsidRDefault="00A4008B" w:rsidP="00A4008B">
      <w:pPr>
        <w:pStyle w:val="CVSectionHeader"/>
        <w:spacing w:before="0"/>
      </w:pPr>
      <w:r>
        <w:t>Invited Presentations</w:t>
      </w:r>
    </w:p>
    <w:p w14:paraId="5E518E53" w14:textId="77777777" w:rsidR="00A72DF9" w:rsidRDefault="00A72DF9" w:rsidP="00A72DF9">
      <w:pPr>
        <w:pStyle w:val="CVBodytwo"/>
        <w:spacing w:before="0"/>
        <w:ind w:left="0"/>
      </w:pPr>
      <w:r>
        <w:t xml:space="preserve">2022 Northeast Universities Development Consortium at Yale University </w:t>
      </w:r>
    </w:p>
    <w:p w14:paraId="79CDEB4D" w14:textId="77777777" w:rsidR="00A72DF9" w:rsidRDefault="00A72DF9" w:rsidP="00A72DF9">
      <w:pPr>
        <w:pStyle w:val="CVBodytwo"/>
        <w:spacing w:before="0"/>
        <w:ind w:left="0"/>
      </w:pPr>
      <w:r>
        <w:t xml:space="preserve">2023 </w:t>
      </w:r>
      <w:proofErr w:type="spellStart"/>
      <w:r>
        <w:t>InterFinance</w:t>
      </w:r>
      <w:proofErr w:type="spellEnd"/>
      <w:r>
        <w:t xml:space="preserve"> Online Seminar Series </w:t>
      </w:r>
    </w:p>
    <w:p w14:paraId="6BC8F16A" w14:textId="77777777" w:rsidR="00A72DF9" w:rsidRDefault="00A72DF9" w:rsidP="00A72DF9">
      <w:pPr>
        <w:pStyle w:val="CVBodytwo"/>
        <w:spacing w:before="0"/>
        <w:ind w:left="0"/>
      </w:pPr>
      <w:r>
        <w:t xml:space="preserve">2024 Office of Financial Research at the U.S. Treasury Department </w:t>
      </w:r>
    </w:p>
    <w:p w14:paraId="16E266DF" w14:textId="77777777" w:rsidR="00A72DF9" w:rsidRDefault="00A72DF9" w:rsidP="00A72DF9">
      <w:pPr>
        <w:pStyle w:val="CVBodytwo"/>
        <w:spacing w:before="0"/>
        <w:ind w:left="0"/>
      </w:pPr>
      <w:r>
        <w:lastRenderedPageBreak/>
        <w:t>2024 Winter Finance Conference at the University of British Columbia</w:t>
      </w:r>
    </w:p>
    <w:p w14:paraId="06913A21" w14:textId="77777777" w:rsidR="00A72DF9" w:rsidRDefault="00A72DF9" w:rsidP="00A72DF9">
      <w:pPr>
        <w:pStyle w:val="CVBodytwo"/>
        <w:spacing w:before="0"/>
        <w:ind w:left="0"/>
      </w:pPr>
      <w:r>
        <w:t xml:space="preserve">2024 Georgia Tech-Atlanta Fed Household Finance Conference </w:t>
      </w:r>
    </w:p>
    <w:p w14:paraId="0C6FB18C" w14:textId="77777777" w:rsidR="00A72DF9" w:rsidRDefault="00A72DF9" w:rsidP="00A72DF9">
      <w:pPr>
        <w:pStyle w:val="CVBodytwo"/>
        <w:spacing w:before="0"/>
        <w:ind w:left="0"/>
      </w:pPr>
      <w:r>
        <w:t xml:space="preserve">2024 Office of Litigation Economics at the Security Exchange Commission </w:t>
      </w:r>
    </w:p>
    <w:p w14:paraId="33FB0C1F" w14:textId="77777777" w:rsidR="00A72DF9" w:rsidRDefault="00A72DF9" w:rsidP="00A72DF9">
      <w:pPr>
        <w:pStyle w:val="CVBodytwo"/>
        <w:spacing w:before="0"/>
        <w:ind w:left="0"/>
      </w:pPr>
      <w:r>
        <w:t xml:space="preserve">2024 Bank of Canada Access to Cash and Financial Services Workshop </w:t>
      </w:r>
    </w:p>
    <w:p w14:paraId="332A24C3" w14:textId="410CC6F2" w:rsidR="00A4008B" w:rsidRDefault="00A72DF9" w:rsidP="00A72DF9">
      <w:pPr>
        <w:pStyle w:val="CVBodytwo"/>
        <w:spacing w:before="0"/>
        <w:ind w:left="0"/>
      </w:pPr>
      <w:r>
        <w:t>2024 Consumer Financial Protection Bureau Summer Seminar Series</w:t>
      </w:r>
    </w:p>
    <w:p w14:paraId="2453D824" w14:textId="217983CA" w:rsidR="00664DA0" w:rsidRDefault="00664DA0" w:rsidP="00A72DF9">
      <w:pPr>
        <w:pStyle w:val="CVBodytwo"/>
        <w:spacing w:before="0"/>
        <w:ind w:left="0"/>
      </w:pPr>
      <w:r>
        <w:t xml:space="preserve">2025 Georgia Finance Conference </w:t>
      </w:r>
    </w:p>
    <w:p w14:paraId="188271D1" w14:textId="3DFA5811" w:rsidR="00455155" w:rsidRDefault="00455155" w:rsidP="00A72DF9">
      <w:pPr>
        <w:pStyle w:val="CVBodytwo"/>
        <w:spacing w:before="0"/>
        <w:ind w:left="0"/>
      </w:pPr>
    </w:p>
    <w:p w14:paraId="44B2740B" w14:textId="77777777" w:rsidR="00603C45" w:rsidRDefault="00603C45" w:rsidP="00603C45">
      <w:pPr>
        <w:pStyle w:val="CVSectionHeader"/>
        <w:spacing w:before="0"/>
      </w:pPr>
      <w:r>
        <w:t>Teaching</w:t>
      </w:r>
    </w:p>
    <w:p w14:paraId="7CDEEF33" w14:textId="69CC19DC" w:rsidR="004C5135" w:rsidRPr="004C5135" w:rsidRDefault="004C5135" w:rsidP="00603C45">
      <w:pPr>
        <w:pStyle w:val="CVBodytwo"/>
        <w:spacing w:before="0"/>
        <w:ind w:left="0"/>
        <w:rPr>
          <w:i/>
          <w:iCs/>
        </w:rPr>
      </w:pPr>
      <w:r>
        <w:rPr>
          <w:i/>
          <w:iCs/>
        </w:rPr>
        <w:t xml:space="preserve">Georgia Institute of Technology </w:t>
      </w:r>
    </w:p>
    <w:p w14:paraId="5B84A5D1" w14:textId="2DBA6EF2" w:rsidR="004C5135" w:rsidRDefault="004C5135" w:rsidP="00603C45">
      <w:pPr>
        <w:pStyle w:val="CVBodytwo"/>
        <w:spacing w:before="0"/>
        <w:ind w:left="0"/>
      </w:pPr>
      <w:r>
        <w:t xml:space="preserve">Main Instructor, </w:t>
      </w:r>
      <w:r w:rsidR="00824EA7">
        <w:t xml:space="preserve">Management 4074: </w:t>
      </w:r>
      <w:proofErr w:type="spellStart"/>
      <w:r w:rsidR="00824EA7">
        <w:t xml:space="preserve">Fintech </w:t>
      </w:r>
      <w:proofErr w:type="spellEnd"/>
      <w:r w:rsidR="00824EA7">
        <w:t xml:space="preserve">and </w:t>
      </w:r>
      <w:proofErr w:type="spellStart"/>
      <w:r w:rsidR="00824EA7">
        <w:t>Cryptio</w:t>
      </w:r>
      <w:proofErr w:type="spellEnd"/>
      <w:r w:rsidR="00824EA7">
        <w:t xml:space="preserve"> Tokens, BS (2025). Rating 4.75/5 (100-90</w:t>
      </w:r>
      <w:r w:rsidR="00824EA7" w:rsidRPr="00824EA7">
        <w:rPr>
          <w:vertAlign w:val="superscript"/>
        </w:rPr>
        <w:t>th</w:t>
      </w:r>
      <w:r w:rsidR="00824EA7">
        <w:t xml:space="preserve"> </w:t>
      </w:r>
      <w:proofErr w:type="spellStart"/>
      <w:r w:rsidR="00824EA7">
        <w:t>pctl</w:t>
      </w:r>
      <w:proofErr w:type="spellEnd"/>
      <w:r w:rsidR="00824EA7">
        <w:t xml:space="preserve">) </w:t>
      </w:r>
    </w:p>
    <w:p w14:paraId="494097E9" w14:textId="2A0DA435" w:rsidR="004C5135" w:rsidRPr="004C5135" w:rsidRDefault="004C5135" w:rsidP="00603C45">
      <w:pPr>
        <w:pStyle w:val="CVBodytwo"/>
        <w:spacing w:before="0"/>
        <w:ind w:left="0"/>
        <w:rPr>
          <w:i/>
          <w:iCs/>
        </w:rPr>
      </w:pPr>
      <w:r>
        <w:rPr>
          <w:i/>
          <w:iCs/>
        </w:rPr>
        <w:t xml:space="preserve">Stanford University </w:t>
      </w:r>
    </w:p>
    <w:p w14:paraId="5DDC254F" w14:textId="2448887A" w:rsidR="00F82D4D" w:rsidRDefault="00F82D4D" w:rsidP="00603C45">
      <w:pPr>
        <w:pStyle w:val="CVBodytwo"/>
        <w:spacing w:before="0"/>
        <w:ind w:left="0"/>
      </w:pPr>
      <w:r>
        <w:t>Course Assistant, Finance 624: Theoretical Corporate Finance</w:t>
      </w:r>
      <w:r w:rsidR="004C5135">
        <w:t>, PhD</w:t>
      </w:r>
      <w:r>
        <w:t xml:space="preserve"> (2023). Rating</w:t>
      </w:r>
      <w:r w:rsidR="002213FE">
        <w:t xml:space="preserve"> </w:t>
      </w:r>
      <w:r w:rsidR="00122DBE">
        <w:t>5/5.</w:t>
      </w:r>
    </w:p>
    <w:p w14:paraId="0D1AA244" w14:textId="3954F331" w:rsidR="00603C45" w:rsidRDefault="00603C45" w:rsidP="00603C45">
      <w:pPr>
        <w:pStyle w:val="CVBodytwo"/>
        <w:spacing w:before="0"/>
        <w:ind w:left="0"/>
      </w:pPr>
      <w:r>
        <w:t xml:space="preserve">Course Assistant, Finance 229: Managerial Finance, </w:t>
      </w:r>
      <w:proofErr w:type="spellStart"/>
      <w:r>
        <w:t>MsX</w:t>
      </w:r>
      <w:proofErr w:type="spellEnd"/>
      <w:r>
        <w:t xml:space="preserve"> (202</w:t>
      </w:r>
      <w:r w:rsidR="002213FE">
        <w:t>1</w:t>
      </w:r>
      <w:r>
        <w:t>-202</w:t>
      </w:r>
      <w:r w:rsidR="002213FE">
        <w:t>2</w:t>
      </w:r>
      <w:r>
        <w:t>). Ratings 4.</w:t>
      </w:r>
      <w:r w:rsidR="00702BB9">
        <w:t>3</w:t>
      </w:r>
      <w:r>
        <w:t xml:space="preserve">/5, 4.60/5. </w:t>
      </w:r>
    </w:p>
    <w:p w14:paraId="33D10A86" w14:textId="77777777" w:rsidR="00603C45" w:rsidRDefault="00603C45" w:rsidP="00603C45">
      <w:pPr>
        <w:pStyle w:val="CVBodytwo"/>
        <w:spacing w:before="0"/>
        <w:ind w:left="0"/>
      </w:pPr>
    </w:p>
    <w:p w14:paraId="758D7FA8" w14:textId="77777777" w:rsidR="00603C45" w:rsidRDefault="00603C45" w:rsidP="00603C45">
      <w:pPr>
        <w:pStyle w:val="CVSectionHeader"/>
        <w:spacing w:before="0"/>
      </w:pPr>
      <w:r>
        <w:t>Service</w:t>
      </w:r>
    </w:p>
    <w:p w14:paraId="34900DDD" w14:textId="1F38A842" w:rsidR="0021773A" w:rsidRDefault="00824EA7" w:rsidP="00603C45">
      <w:pPr>
        <w:pStyle w:val="CVBodytwo"/>
        <w:spacing w:before="0"/>
        <w:ind w:left="0"/>
      </w:pPr>
      <w:r>
        <w:t xml:space="preserve">Organizing Committee, </w:t>
      </w:r>
      <w:r w:rsidR="00F70061">
        <w:t xml:space="preserve">Georgia Tech – Federal Reserve Bank of Atlanta Household Finance Conference (2024-present). </w:t>
      </w:r>
    </w:p>
    <w:p w14:paraId="50674D16" w14:textId="47AC3592" w:rsidR="00603C45" w:rsidRDefault="00603C45" w:rsidP="00603C45">
      <w:pPr>
        <w:pStyle w:val="CVBodytwo"/>
        <w:spacing w:before="0"/>
        <w:ind w:left="0"/>
      </w:pPr>
      <w:r>
        <w:t xml:space="preserve">Referee, </w:t>
      </w:r>
      <w:r>
        <w:rPr>
          <w:i/>
          <w:iCs/>
        </w:rPr>
        <w:t>American Economic Review</w:t>
      </w:r>
      <w:r>
        <w:t xml:space="preserve"> (2021).</w:t>
      </w:r>
    </w:p>
    <w:p w14:paraId="260690B8" w14:textId="0137E162" w:rsidR="00603C45" w:rsidRDefault="00603C45" w:rsidP="00603C45">
      <w:pPr>
        <w:pStyle w:val="CVBodytwo"/>
        <w:spacing w:before="0"/>
        <w:ind w:left="0"/>
      </w:pPr>
      <w:r>
        <w:t xml:space="preserve">Social Committee Chair, Stanford GSB (2019-2020). </w:t>
      </w:r>
    </w:p>
    <w:p w14:paraId="5398FC86" w14:textId="77777777" w:rsidR="00603C45" w:rsidRDefault="00603C45" w:rsidP="00591B48">
      <w:pPr>
        <w:pStyle w:val="CVBody1stIndent"/>
        <w:spacing w:before="0"/>
        <w:ind w:firstLine="720"/>
        <w:contextualSpacing w:val="0"/>
      </w:pPr>
    </w:p>
    <w:p w14:paraId="0CA5E26F" w14:textId="02A80DF3" w:rsidR="00D61A0C" w:rsidRDefault="00D61A0C" w:rsidP="00591B48">
      <w:pPr>
        <w:pStyle w:val="CVSectionHeader"/>
        <w:spacing w:before="0"/>
      </w:pPr>
      <w:r>
        <w:t>PROFESSIONAL</w:t>
      </w:r>
    </w:p>
    <w:p w14:paraId="52EC8035" w14:textId="30ED84B6" w:rsidR="00D61A0C" w:rsidRDefault="00805BF5" w:rsidP="00591B48">
      <w:pPr>
        <w:pStyle w:val="CVBody"/>
        <w:spacing w:before="0"/>
      </w:pPr>
      <w:r>
        <w:t>2016</w:t>
      </w:r>
      <w:r w:rsidR="00D61A0C">
        <w:t xml:space="preserve"> – </w:t>
      </w:r>
      <w:r w:rsidR="00912782">
        <w:t>2018</w:t>
      </w:r>
      <w:r w:rsidR="00D61A0C">
        <w:rPr>
          <w:b/>
          <w:bCs/>
        </w:rPr>
        <w:tab/>
        <w:t>Cornerstone Research, Inc.</w:t>
      </w:r>
      <w:r w:rsidR="00D61A0C">
        <w:tab/>
      </w:r>
      <w:r w:rsidR="00BE2AFB">
        <w:t>Boston, Massachusetts</w:t>
      </w:r>
    </w:p>
    <w:p w14:paraId="55FF60D2" w14:textId="77777777" w:rsidR="00D61A0C" w:rsidRDefault="00805BF5" w:rsidP="00591B48">
      <w:pPr>
        <w:pStyle w:val="CVJobTitle"/>
        <w:ind w:left="720" w:firstLine="720"/>
      </w:pPr>
      <w:r>
        <w:t>Analyst</w:t>
      </w:r>
    </w:p>
    <w:p w14:paraId="380F4DDF" w14:textId="7C4329D1" w:rsidR="006F1DB6" w:rsidRDefault="0040068A" w:rsidP="00912782">
      <w:pPr>
        <w:pStyle w:val="CVBody1stIndent"/>
        <w:spacing w:before="0"/>
        <w:ind w:left="1440"/>
        <w:contextualSpacing w:val="0"/>
      </w:pPr>
      <w:r>
        <w:t>Prepared expert</w:t>
      </w:r>
      <w:r w:rsidR="00F642E6">
        <w:t xml:space="preserve"> testimony </w:t>
      </w:r>
      <w:r w:rsidR="00912782">
        <w:t xml:space="preserve">on </w:t>
      </w:r>
      <w:r w:rsidR="006F1DB6">
        <w:t xml:space="preserve">mutual fund fees, </w:t>
      </w:r>
      <w:r w:rsidR="008C3B26">
        <w:t>securities class-action</w:t>
      </w:r>
      <w:r w:rsidR="000C7C34">
        <w:t xml:space="preserve"> claims</w:t>
      </w:r>
      <w:r w:rsidR="006F1DB6">
        <w:t>, and structured financ</w:t>
      </w:r>
      <w:r w:rsidR="00912782">
        <w:t>ial</w:t>
      </w:r>
      <w:r w:rsidR="006F1DB6">
        <w:t xml:space="preserve"> products </w:t>
      </w:r>
    </w:p>
    <w:p w14:paraId="3E2B3E4D" w14:textId="6CD855D3" w:rsidR="005031EC" w:rsidRDefault="00912782" w:rsidP="00591B48">
      <w:pPr>
        <w:pStyle w:val="CVBody1stIndent"/>
        <w:spacing w:before="0"/>
        <w:ind w:left="1440"/>
        <w:contextualSpacing w:val="0"/>
      </w:pPr>
      <w:r>
        <w:t xml:space="preserve">Maintained </w:t>
      </w:r>
      <w:r w:rsidR="00330892">
        <w:t>proprietary</w:t>
      </w:r>
      <w:r w:rsidR="005031EC">
        <w:t xml:space="preserve"> database of </w:t>
      </w:r>
      <w:r w:rsidR="00497CFD">
        <w:t>over</w:t>
      </w:r>
      <w:r w:rsidR="005031EC">
        <w:t xml:space="preserve"> 1,600 securities class-action settlements</w:t>
      </w:r>
      <w:r w:rsidR="00330892">
        <w:t xml:space="preserve"> and produced annual reports </w:t>
      </w:r>
    </w:p>
    <w:p w14:paraId="1C01E518" w14:textId="77777777" w:rsidR="00591B48" w:rsidRDefault="00591B48" w:rsidP="00591B48">
      <w:pPr>
        <w:pStyle w:val="CVBody1stIndent"/>
        <w:spacing w:before="0"/>
        <w:ind w:left="1440"/>
        <w:contextualSpacing w:val="0"/>
      </w:pPr>
    </w:p>
    <w:p w14:paraId="0FBE8A63" w14:textId="77777777" w:rsidR="00D61A0C" w:rsidRDefault="00805BF5" w:rsidP="00591B48">
      <w:pPr>
        <w:pStyle w:val="CVBody"/>
        <w:spacing w:before="0"/>
      </w:pPr>
      <w:r>
        <w:t>2015 – 2015</w:t>
      </w:r>
      <w:r w:rsidR="00D61A0C">
        <w:tab/>
      </w:r>
      <w:r>
        <w:rPr>
          <w:b/>
          <w:bCs/>
        </w:rPr>
        <w:t>TGG Group</w:t>
      </w:r>
      <w:r>
        <w:tab/>
        <w:t>Chicago, Illinois</w:t>
      </w:r>
    </w:p>
    <w:p w14:paraId="1BCFA214" w14:textId="77777777" w:rsidR="00D61A0C" w:rsidRDefault="00805BF5" w:rsidP="00591B48">
      <w:pPr>
        <w:pStyle w:val="CVJobTitle"/>
        <w:ind w:left="720" w:firstLine="720"/>
      </w:pPr>
      <w:r>
        <w:t>Associate</w:t>
      </w:r>
    </w:p>
    <w:p w14:paraId="07898FE4" w14:textId="71D2E63C" w:rsidR="00D61A0C" w:rsidRDefault="00805BF5" w:rsidP="00591B48">
      <w:pPr>
        <w:pStyle w:val="CVBody1stIndent"/>
        <w:spacing w:before="0"/>
        <w:ind w:left="1440"/>
        <w:contextualSpacing w:val="0"/>
      </w:pPr>
      <w:r>
        <w:t xml:space="preserve">Provided clients with innovative business solutions based on insights from behavioral economics, psychology, and data </w:t>
      </w:r>
      <w:r w:rsidR="00912782">
        <w:t>science</w:t>
      </w:r>
    </w:p>
    <w:p w14:paraId="4361E144" w14:textId="458DB295" w:rsidR="00591B48" w:rsidRDefault="00C77100" w:rsidP="00591B48">
      <w:pPr>
        <w:pStyle w:val="CVBody1stIndent"/>
        <w:spacing w:before="0"/>
        <w:ind w:left="1440"/>
        <w:contextualSpacing w:val="0"/>
      </w:pPr>
      <w:r>
        <w:t xml:space="preserve">Evaluated </w:t>
      </w:r>
      <w:r w:rsidR="003961A0">
        <w:t>impact of</w:t>
      </w:r>
      <w:r w:rsidR="00591B48">
        <w:t xml:space="preserve"> </w:t>
      </w:r>
      <w:r w:rsidR="003961A0">
        <w:t>reading intervention for</w:t>
      </w:r>
      <w:r w:rsidR="00591B48">
        <w:t xml:space="preserve"> incarcerated youth </w:t>
      </w:r>
    </w:p>
    <w:p w14:paraId="1D0BB377" w14:textId="77777777" w:rsidR="00591B48" w:rsidRDefault="00591B48" w:rsidP="00591B48">
      <w:pPr>
        <w:pStyle w:val="CVBody1stIndent"/>
        <w:spacing w:before="0"/>
        <w:ind w:left="1440"/>
        <w:contextualSpacing w:val="0"/>
      </w:pPr>
    </w:p>
    <w:p w14:paraId="64F093D3" w14:textId="77777777" w:rsidR="00D61A0C" w:rsidRDefault="00805BF5" w:rsidP="00591B48">
      <w:pPr>
        <w:pStyle w:val="CVBody"/>
        <w:spacing w:before="0"/>
      </w:pPr>
      <w:r>
        <w:t>2014 – 2014</w:t>
      </w:r>
      <w:r w:rsidR="00D61A0C">
        <w:tab/>
      </w:r>
      <w:r>
        <w:rPr>
          <w:b/>
          <w:bCs/>
        </w:rPr>
        <w:t>Harvard Business School</w:t>
      </w:r>
      <w:r>
        <w:tab/>
        <w:t>Boston, Massachusetts</w:t>
      </w:r>
    </w:p>
    <w:p w14:paraId="7C63FD4F" w14:textId="77777777" w:rsidR="00D61A0C" w:rsidRDefault="00805BF5" w:rsidP="00591B48">
      <w:pPr>
        <w:pStyle w:val="CVJobTitle"/>
      </w:pPr>
      <w:r>
        <w:t>Research Assistant</w:t>
      </w:r>
    </w:p>
    <w:p w14:paraId="4BC455F2" w14:textId="7D295EB2" w:rsidR="00A77ED6" w:rsidRDefault="00A77ED6" w:rsidP="00591B48">
      <w:pPr>
        <w:pStyle w:val="CVBody1stIndent"/>
        <w:spacing w:before="0"/>
        <w:ind w:left="1440"/>
        <w:contextualSpacing w:val="0"/>
      </w:pPr>
      <w:r>
        <w:t xml:space="preserve">Hand-collected data from NRA travel guides and from state legislatures regarding gun control policies </w:t>
      </w:r>
    </w:p>
    <w:p w14:paraId="79C24CCF" w14:textId="61B7960C" w:rsidR="00A77ED6" w:rsidRDefault="00A77ED6" w:rsidP="00591B48">
      <w:pPr>
        <w:pStyle w:val="CVBody1stIndent"/>
        <w:spacing w:before="0"/>
        <w:ind w:left="1440"/>
        <w:contextualSpacing w:val="0"/>
      </w:pPr>
      <w:r>
        <w:t xml:space="preserve">Performed multivariate time series regression analysis to measure the effect of mass shootings on gun control policy choices by state legislatures </w:t>
      </w:r>
    </w:p>
    <w:p w14:paraId="62B9AD49" w14:textId="1AFFB1E1" w:rsidR="007E72E4" w:rsidRDefault="00A77ED6" w:rsidP="00591B48">
      <w:pPr>
        <w:pStyle w:val="CVBody1stIndent"/>
        <w:spacing w:before="0"/>
        <w:ind w:left="1440"/>
        <w:contextualSpacing w:val="0"/>
      </w:pPr>
      <w:r>
        <w:t xml:space="preserve">Contributed to </w:t>
      </w:r>
      <w:r w:rsidR="007E72E4">
        <w:t>“The Impact of Mass Shootings on Gun Policy” by Michael Luca, Deepak Malhotra, and Christopher Poliquin</w:t>
      </w:r>
      <w:r w:rsidR="00912782">
        <w:t>, NBER Working Paper No. 26187</w:t>
      </w:r>
    </w:p>
    <w:p w14:paraId="0839B9C4" w14:textId="77777777" w:rsidR="00591B48" w:rsidRDefault="00591B48" w:rsidP="00591B48">
      <w:pPr>
        <w:pStyle w:val="CVBody1stIndent"/>
        <w:spacing w:before="0"/>
        <w:ind w:left="1440"/>
        <w:contextualSpacing w:val="0"/>
      </w:pPr>
    </w:p>
    <w:p w14:paraId="29984B6D" w14:textId="77777777" w:rsidR="00805BF5" w:rsidRDefault="00805BF5" w:rsidP="00591B48">
      <w:pPr>
        <w:pStyle w:val="CVBody"/>
        <w:spacing w:before="0"/>
      </w:pPr>
      <w:r>
        <w:t>2013 – 2013</w:t>
      </w:r>
      <w:r>
        <w:tab/>
      </w:r>
      <w:r>
        <w:rPr>
          <w:b/>
          <w:bCs/>
        </w:rPr>
        <w:t>Harvard Business School</w:t>
      </w:r>
      <w:r>
        <w:tab/>
        <w:t>Boston, Massachusetts</w:t>
      </w:r>
    </w:p>
    <w:p w14:paraId="5292696A" w14:textId="77777777" w:rsidR="00805BF5" w:rsidRDefault="00805BF5" w:rsidP="00591B48">
      <w:pPr>
        <w:pStyle w:val="CVJobTitle"/>
        <w:ind w:left="720" w:firstLine="720"/>
      </w:pPr>
      <w:r>
        <w:t>Program for Research into Markets and Organizations (PRIMO) Fellow</w:t>
      </w:r>
    </w:p>
    <w:p w14:paraId="11D8B0B9" w14:textId="6FAD6992" w:rsidR="00495552" w:rsidRDefault="00A6127C" w:rsidP="00495552">
      <w:pPr>
        <w:pStyle w:val="CVBody1stIndent"/>
        <w:spacing w:before="0"/>
        <w:ind w:left="1440"/>
        <w:contextualSpacing w:val="0"/>
      </w:pPr>
      <w:r>
        <w:lastRenderedPageBreak/>
        <w:t xml:space="preserve">Hand-collected data on </w:t>
      </w:r>
      <w:r w:rsidR="00084CBC">
        <w:t>cook</w:t>
      </w:r>
      <w:r>
        <w:t xml:space="preserve"> task assignments, customer ticket completion times, and customer satisfaction </w:t>
      </w:r>
      <w:r w:rsidR="00495552">
        <w:t>for an experiment in</w:t>
      </w:r>
      <w:r>
        <w:t xml:space="preserve"> the Harvard Annenberg dining hall </w:t>
      </w:r>
    </w:p>
    <w:p w14:paraId="46D03108" w14:textId="67B45950" w:rsidR="00495552" w:rsidRDefault="00495552" w:rsidP="00495552">
      <w:pPr>
        <w:pStyle w:val="CVBody1stIndent"/>
        <w:spacing w:before="0"/>
        <w:ind w:left="1440"/>
        <w:contextualSpacing w:val="0"/>
      </w:pPr>
      <w:r>
        <w:t xml:space="preserve">Tested hypotheses on the relationship between operational transparency (customer visibility of cooks) using this new experimental data </w:t>
      </w:r>
    </w:p>
    <w:p w14:paraId="201A7076" w14:textId="37627F7F" w:rsidR="00F94E9C" w:rsidRDefault="00A6127C" w:rsidP="00BA0842">
      <w:pPr>
        <w:pStyle w:val="CVBody1stIndent"/>
        <w:spacing w:before="0"/>
        <w:ind w:left="1440"/>
        <w:contextualSpacing w:val="0"/>
      </w:pPr>
      <w:r>
        <w:t>Contributed to</w:t>
      </w:r>
      <w:r w:rsidR="007E72E4">
        <w:t xml:space="preserve"> “Creating Reciprocal Value through Operational Transparency” (2017) by Ryan Buell, Tami Kim, and Chia-Jung Tsay</w:t>
      </w:r>
      <w:r w:rsidR="00BA0842">
        <w:t xml:space="preserve">, published in </w:t>
      </w:r>
      <w:r w:rsidR="00BA0842">
        <w:rPr>
          <w:i/>
        </w:rPr>
        <w:t>Management Science</w:t>
      </w:r>
      <w:r w:rsidR="00BA0842">
        <w:t xml:space="preserve"> </w:t>
      </w:r>
    </w:p>
    <w:p w14:paraId="7A2916A0" w14:textId="77777777" w:rsidR="009F19E6" w:rsidRDefault="009F19E6" w:rsidP="009F19E6">
      <w:pPr>
        <w:pStyle w:val="CVSectionHeader"/>
        <w:spacing w:before="0"/>
      </w:pPr>
    </w:p>
    <w:p w14:paraId="2E49C5BB" w14:textId="1555E4A0" w:rsidR="00672610" w:rsidRDefault="009F19E6" w:rsidP="009F19E6">
      <w:pPr>
        <w:pStyle w:val="CVSectionHeader"/>
        <w:spacing w:before="0"/>
      </w:pPr>
      <w:r>
        <w:t>PERSONAL</w:t>
      </w:r>
    </w:p>
    <w:p w14:paraId="3C3F48A6" w14:textId="1E3BC657" w:rsidR="009F19E6" w:rsidRDefault="009F19E6" w:rsidP="00672610">
      <w:pPr>
        <w:pStyle w:val="CVBody1stIndent"/>
        <w:spacing w:before="0"/>
        <w:ind w:left="0"/>
        <w:contextualSpacing w:val="0"/>
      </w:pPr>
      <w:r>
        <w:t xml:space="preserve">Citizenship: United States </w:t>
      </w:r>
    </w:p>
    <w:p w14:paraId="470275F5" w14:textId="453828CB" w:rsidR="00824DBB" w:rsidRDefault="0021773A" w:rsidP="00672610">
      <w:pPr>
        <w:pStyle w:val="CVBody1stIndent"/>
        <w:spacing w:before="0"/>
        <w:ind w:left="0"/>
        <w:contextualSpacing w:val="0"/>
      </w:pPr>
      <w:r>
        <w:t>Family</w:t>
      </w:r>
      <w:r w:rsidR="00C95D30">
        <w:t>: Sarah Su-Wen Anderson (</w:t>
      </w:r>
      <w:r w:rsidR="00715155">
        <w:t>wife</w:t>
      </w:r>
      <w:r w:rsidR="00C95D30">
        <w:t>), Scoop Anderson-Hall (dog)</w:t>
      </w:r>
    </w:p>
    <w:sectPr w:rsidR="00824DBB" w:rsidSect="0079231F">
      <w:headerReference w:type="default" r:id="rId9"/>
      <w:footerReference w:type="default" r:id="rId10"/>
      <w:footerReference w:type="first" r:id="rId11"/>
      <w:pgSz w:w="12240" w:h="15840" w:code="1"/>
      <w:pgMar w:top="108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3598AF" w14:textId="77777777" w:rsidR="0028551C" w:rsidRDefault="0028551C" w:rsidP="008018D9">
      <w:r>
        <w:separator/>
      </w:r>
    </w:p>
  </w:endnote>
  <w:endnote w:type="continuationSeparator" w:id="0">
    <w:p w14:paraId="48839B33" w14:textId="77777777" w:rsidR="0028551C" w:rsidRDefault="0028551C" w:rsidP="00801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B06040202020202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76387" w14:textId="77777777" w:rsidR="00E24F1C" w:rsidRDefault="00E24F1C" w:rsidP="00D61A0C">
    <w:pPr>
      <w:pStyle w:val="CVFooter"/>
    </w:pPr>
    <w:r>
      <w:tab/>
    </w:r>
    <w:r>
      <w:tab/>
      <w:t xml:space="preserve">Page </w:t>
    </w:r>
    <w:r>
      <w:fldChar w:fldCharType="begin"/>
    </w:r>
    <w:r>
      <w:instrText xml:space="preserve"> PAGE </w:instrText>
    </w:r>
    <w:r>
      <w:fldChar w:fldCharType="separate"/>
    </w:r>
    <w:r w:rsidR="008C5916">
      <w:rPr>
        <w:noProof/>
      </w:rPr>
      <w:t>2</w:t>
    </w:r>
    <w:r>
      <w:fldChar w:fldCharType="end"/>
    </w:r>
    <w:r>
      <w:t xml:space="preserve"> of </w:t>
    </w:r>
    <w:r w:rsidR="008C5916">
      <w:fldChar w:fldCharType="begin"/>
    </w:r>
    <w:r w:rsidR="008C5916">
      <w:instrText xml:space="preserve"> NUMPAGES </w:instrText>
    </w:r>
    <w:r w:rsidR="008C5916">
      <w:fldChar w:fldCharType="separate"/>
    </w:r>
    <w:r w:rsidR="008C5916">
      <w:rPr>
        <w:noProof/>
      </w:rPr>
      <w:t>2</w:t>
    </w:r>
    <w:r w:rsidR="008C5916">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71EA1" w14:textId="77777777" w:rsidR="00591B48" w:rsidRDefault="00591B48" w:rsidP="00591B48">
    <w:pPr>
      <w:pStyle w:val="CVFooter"/>
    </w:pPr>
    <w:r>
      <w:tab/>
    </w:r>
    <w:r>
      <w:tab/>
      <w:t xml:space="preserve">Page </w:t>
    </w:r>
    <w:r>
      <w:fldChar w:fldCharType="begin"/>
    </w:r>
    <w:r>
      <w:instrText xml:space="preserve"> PAGE </w:instrText>
    </w:r>
    <w:r>
      <w:fldChar w:fldCharType="separate"/>
    </w:r>
    <w:r w:rsidR="008C5916">
      <w:rPr>
        <w:noProof/>
      </w:rPr>
      <w:t>1</w:t>
    </w:r>
    <w:r>
      <w:fldChar w:fldCharType="end"/>
    </w:r>
    <w:r>
      <w:t xml:space="preserve"> of </w:t>
    </w:r>
    <w:r w:rsidR="008C5916">
      <w:fldChar w:fldCharType="begin"/>
    </w:r>
    <w:r w:rsidR="008C5916">
      <w:instrText xml:space="preserve"> NUMPAGES </w:instrText>
    </w:r>
    <w:r w:rsidR="008C5916">
      <w:fldChar w:fldCharType="separate"/>
    </w:r>
    <w:r w:rsidR="008C5916">
      <w:rPr>
        <w:noProof/>
      </w:rPr>
      <w:t>2</w:t>
    </w:r>
    <w:r w:rsidR="008C5916">
      <w:rPr>
        <w:noProof/>
      </w:rPr>
      <w:fldChar w:fldCharType="end"/>
    </w:r>
  </w:p>
  <w:p w14:paraId="2E9EAFC7" w14:textId="77777777" w:rsidR="00591B48" w:rsidRDefault="00591B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B7CC91" w14:textId="77777777" w:rsidR="0028551C" w:rsidRDefault="0028551C" w:rsidP="008018D9">
      <w:r>
        <w:separator/>
      </w:r>
    </w:p>
  </w:footnote>
  <w:footnote w:type="continuationSeparator" w:id="0">
    <w:p w14:paraId="1562D756" w14:textId="77777777" w:rsidR="0028551C" w:rsidRDefault="0028551C" w:rsidP="008018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61C3C" w14:textId="77777777" w:rsidR="00E24F1C" w:rsidRDefault="00E24F1C" w:rsidP="006F1DB6">
    <w:pPr>
      <w:pStyle w:val="CV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F10C554"/>
    <w:lvl w:ilvl="0">
      <w:start w:val="1"/>
      <w:numFmt w:val="decimal"/>
      <w:pStyle w:val="ListNumber5"/>
      <w:lvlText w:val="%1."/>
      <w:lvlJc w:val="left"/>
      <w:pPr>
        <w:tabs>
          <w:tab w:val="num" w:pos="3600"/>
        </w:tabs>
        <w:ind w:left="3600" w:hanging="720"/>
      </w:pPr>
      <w:rPr>
        <w:rFonts w:hint="default"/>
      </w:rPr>
    </w:lvl>
  </w:abstractNum>
  <w:abstractNum w:abstractNumId="1" w15:restartNumberingAfterBreak="0">
    <w:nsid w:val="FFFFFF7D"/>
    <w:multiLevelType w:val="singleLevel"/>
    <w:tmpl w:val="B530A1D0"/>
    <w:lvl w:ilvl="0">
      <w:start w:val="1"/>
      <w:numFmt w:val="decimal"/>
      <w:pStyle w:val="ListNumber4"/>
      <w:lvlText w:val="%1."/>
      <w:lvlJc w:val="left"/>
      <w:pPr>
        <w:tabs>
          <w:tab w:val="num" w:pos="2880"/>
        </w:tabs>
        <w:ind w:left="2880" w:hanging="720"/>
      </w:pPr>
      <w:rPr>
        <w:rFonts w:hint="default"/>
      </w:rPr>
    </w:lvl>
  </w:abstractNum>
  <w:abstractNum w:abstractNumId="2" w15:restartNumberingAfterBreak="0">
    <w:nsid w:val="FFFFFF7E"/>
    <w:multiLevelType w:val="singleLevel"/>
    <w:tmpl w:val="06D8E2AC"/>
    <w:lvl w:ilvl="0">
      <w:start w:val="1"/>
      <w:numFmt w:val="decimal"/>
      <w:pStyle w:val="ListNumber3"/>
      <w:lvlText w:val="%1."/>
      <w:lvlJc w:val="left"/>
      <w:pPr>
        <w:tabs>
          <w:tab w:val="num" w:pos="2160"/>
        </w:tabs>
        <w:ind w:left="2160" w:hanging="720"/>
      </w:pPr>
      <w:rPr>
        <w:rFonts w:hint="default"/>
      </w:rPr>
    </w:lvl>
  </w:abstractNum>
  <w:abstractNum w:abstractNumId="3" w15:restartNumberingAfterBreak="0">
    <w:nsid w:val="FFFFFF7F"/>
    <w:multiLevelType w:val="singleLevel"/>
    <w:tmpl w:val="1888613A"/>
    <w:lvl w:ilvl="0">
      <w:start w:val="1"/>
      <w:numFmt w:val="decimal"/>
      <w:pStyle w:val="ListNumber2"/>
      <w:lvlText w:val="%1."/>
      <w:lvlJc w:val="left"/>
      <w:pPr>
        <w:tabs>
          <w:tab w:val="num" w:pos="1440"/>
        </w:tabs>
        <w:ind w:left="1440" w:hanging="720"/>
      </w:pPr>
      <w:rPr>
        <w:rFonts w:hint="default"/>
      </w:rPr>
    </w:lvl>
  </w:abstractNum>
  <w:abstractNum w:abstractNumId="4" w15:restartNumberingAfterBreak="0">
    <w:nsid w:val="FFFFFF80"/>
    <w:multiLevelType w:val="singleLevel"/>
    <w:tmpl w:val="F47E13CA"/>
    <w:lvl w:ilvl="0">
      <w:start w:val="1"/>
      <w:numFmt w:val="bullet"/>
      <w:pStyle w:val="ListBullet5"/>
      <w:lvlText w:val=""/>
      <w:lvlJc w:val="left"/>
      <w:pPr>
        <w:tabs>
          <w:tab w:val="num" w:pos="2520"/>
        </w:tabs>
        <w:ind w:left="2520" w:hanging="360"/>
      </w:pPr>
      <w:rPr>
        <w:rFonts w:ascii="Wingdings" w:hAnsi="Wingdings" w:hint="default"/>
        <w:b w:val="0"/>
        <w:i w:val="0"/>
        <w:sz w:val="16"/>
        <w:szCs w:val="16"/>
      </w:rPr>
    </w:lvl>
  </w:abstractNum>
  <w:abstractNum w:abstractNumId="5" w15:restartNumberingAfterBreak="0">
    <w:nsid w:val="FFFFFF81"/>
    <w:multiLevelType w:val="singleLevel"/>
    <w:tmpl w:val="3E3CFFC4"/>
    <w:lvl w:ilvl="0">
      <w:start w:val="1"/>
      <w:numFmt w:val="bullet"/>
      <w:pStyle w:val="ListBullet4"/>
      <w:lvlText w:val="–"/>
      <w:lvlJc w:val="left"/>
      <w:pPr>
        <w:tabs>
          <w:tab w:val="num" w:pos="2160"/>
        </w:tabs>
        <w:ind w:left="2160" w:hanging="360"/>
      </w:pPr>
      <w:rPr>
        <w:rFonts w:ascii="Times New Roman" w:hAnsi="Times New Roman" w:cs="Times New Roman" w:hint="default"/>
        <w:b w:val="0"/>
        <w:i w:val="0"/>
        <w:sz w:val="16"/>
        <w:szCs w:val="16"/>
      </w:rPr>
    </w:lvl>
  </w:abstractNum>
  <w:abstractNum w:abstractNumId="6" w15:restartNumberingAfterBreak="0">
    <w:nsid w:val="FFFFFF82"/>
    <w:multiLevelType w:val="singleLevel"/>
    <w:tmpl w:val="C7020C92"/>
    <w:lvl w:ilvl="0">
      <w:start w:val="1"/>
      <w:numFmt w:val="bullet"/>
      <w:pStyle w:val="ListBullet3"/>
      <w:lvlText w:val=""/>
      <w:lvlJc w:val="left"/>
      <w:pPr>
        <w:tabs>
          <w:tab w:val="num" w:pos="1800"/>
        </w:tabs>
        <w:ind w:left="1800" w:hanging="360"/>
      </w:pPr>
      <w:rPr>
        <w:rFonts w:ascii="Wingdings" w:hAnsi="Wingdings" w:cs="Times New Roman" w:hint="default"/>
        <w:b w:val="0"/>
        <w:i w:val="0"/>
        <w:sz w:val="18"/>
        <w:szCs w:val="18"/>
      </w:rPr>
    </w:lvl>
  </w:abstractNum>
  <w:abstractNum w:abstractNumId="7" w15:restartNumberingAfterBreak="0">
    <w:nsid w:val="FFFFFF83"/>
    <w:multiLevelType w:val="singleLevel"/>
    <w:tmpl w:val="7B70EAA4"/>
    <w:lvl w:ilvl="0">
      <w:start w:val="1"/>
      <w:numFmt w:val="bullet"/>
      <w:pStyle w:val="ListBullet2"/>
      <w:lvlText w:val=""/>
      <w:lvlJc w:val="left"/>
      <w:pPr>
        <w:tabs>
          <w:tab w:val="num" w:pos="1440"/>
        </w:tabs>
        <w:ind w:left="1440" w:hanging="360"/>
      </w:pPr>
      <w:rPr>
        <w:rFonts w:ascii="Symbol" w:hAnsi="Symbol" w:hint="default"/>
      </w:rPr>
    </w:lvl>
  </w:abstractNum>
  <w:abstractNum w:abstractNumId="8" w15:restartNumberingAfterBreak="0">
    <w:nsid w:val="FFFFFF88"/>
    <w:multiLevelType w:val="singleLevel"/>
    <w:tmpl w:val="5B16E62C"/>
    <w:lvl w:ilvl="0">
      <w:start w:val="1"/>
      <w:numFmt w:val="decimal"/>
      <w:pStyle w:val="ListNumber"/>
      <w:lvlText w:val="%1."/>
      <w:lvlJc w:val="left"/>
      <w:pPr>
        <w:tabs>
          <w:tab w:val="num" w:pos="720"/>
        </w:tabs>
        <w:ind w:left="1440" w:hanging="720"/>
      </w:pPr>
      <w:rPr>
        <w:rFonts w:hint="default"/>
        <w:b w:val="0"/>
      </w:rPr>
    </w:lvl>
  </w:abstractNum>
  <w:abstractNum w:abstractNumId="9" w15:restartNumberingAfterBreak="0">
    <w:nsid w:val="FFFFFF89"/>
    <w:multiLevelType w:val="singleLevel"/>
    <w:tmpl w:val="D9948950"/>
    <w:lvl w:ilvl="0">
      <w:start w:val="1"/>
      <w:numFmt w:val="bullet"/>
      <w:pStyle w:val="ListBullet"/>
      <w:lvlText w:val=""/>
      <w:lvlJc w:val="left"/>
      <w:pPr>
        <w:tabs>
          <w:tab w:val="num" w:pos="1080"/>
        </w:tabs>
        <w:ind w:left="1080" w:hanging="360"/>
      </w:pPr>
      <w:rPr>
        <w:rFonts w:ascii="Symbol" w:hAnsi="Symbol" w:hint="default"/>
        <w:b w:val="0"/>
        <w:i w:val="0"/>
        <w:sz w:val="18"/>
        <w:szCs w:val="18"/>
      </w:rPr>
    </w:lvl>
  </w:abstractNum>
  <w:abstractNum w:abstractNumId="10" w15:restartNumberingAfterBreak="0">
    <w:nsid w:val="09041702"/>
    <w:multiLevelType w:val="hybridMultilevel"/>
    <w:tmpl w:val="CAA6EA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5515911"/>
    <w:multiLevelType w:val="hybridMultilevel"/>
    <w:tmpl w:val="929CED0C"/>
    <w:lvl w:ilvl="0" w:tplc="9938A3C8">
      <w:start w:val="1"/>
      <w:numFmt w:val="bullet"/>
      <w:lvlText w:val=""/>
      <w:lvlJc w:val="left"/>
      <w:pPr>
        <w:ind w:left="2160" w:hanging="360"/>
      </w:pPr>
      <w:rPr>
        <w:rFonts w:ascii="Symbol" w:hAnsi="Symbol" w:hint="default"/>
      </w:rPr>
    </w:lvl>
    <w:lvl w:ilvl="1" w:tplc="A4BEAA4C">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5FDD79E5"/>
    <w:multiLevelType w:val="hybridMultilevel"/>
    <w:tmpl w:val="E856CA20"/>
    <w:lvl w:ilvl="0" w:tplc="CB260F72">
      <w:start w:val="1"/>
      <w:numFmt w:val="decimal"/>
      <w:pStyle w:val="BodyTextNum"/>
      <w:lvlText w:val="%1."/>
      <w:lvlJc w:val="left"/>
      <w:pPr>
        <w:tabs>
          <w:tab w:val="num" w:pos="0"/>
        </w:tabs>
        <w:ind w:left="0" w:firstLine="0"/>
      </w:pPr>
      <w:rPr>
        <w:rFonts w:ascii="Times New Roman" w:hAnsi="Times New Roman"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C0A1D10"/>
    <w:multiLevelType w:val="multilevel"/>
    <w:tmpl w:val="4FE8FD60"/>
    <w:lvl w:ilvl="0">
      <w:start w:val="1"/>
      <w:numFmt w:val="upperRoman"/>
      <w:pStyle w:val="OutlineLevel1"/>
      <w:lvlText w:val="%1."/>
      <w:lvlJc w:val="left"/>
      <w:pPr>
        <w:tabs>
          <w:tab w:val="num" w:pos="432"/>
        </w:tabs>
        <w:ind w:left="432" w:hanging="432"/>
      </w:pPr>
      <w:rPr>
        <w:rFonts w:ascii="Times New Roman" w:hAnsi="Times New Roman" w:hint="default"/>
        <w:b w:val="0"/>
        <w:i w:val="0"/>
        <w:sz w:val="24"/>
        <w:szCs w:val="24"/>
      </w:rPr>
    </w:lvl>
    <w:lvl w:ilvl="1">
      <w:start w:val="1"/>
      <w:numFmt w:val="upperLetter"/>
      <w:pStyle w:val="OutlineLevel2"/>
      <w:lvlText w:val="%2."/>
      <w:lvlJc w:val="left"/>
      <w:pPr>
        <w:tabs>
          <w:tab w:val="num" w:pos="864"/>
        </w:tabs>
        <w:ind w:left="864" w:hanging="432"/>
      </w:pPr>
      <w:rPr>
        <w:rFonts w:ascii="Times New Roman" w:hAnsi="Times New Roman" w:hint="default"/>
        <w:b w:val="0"/>
        <w:i w:val="0"/>
        <w:sz w:val="24"/>
        <w:szCs w:val="24"/>
      </w:rPr>
    </w:lvl>
    <w:lvl w:ilvl="2">
      <w:start w:val="1"/>
      <w:numFmt w:val="decimal"/>
      <w:pStyle w:val="OutlineLevel3"/>
      <w:lvlText w:val="%3."/>
      <w:lvlJc w:val="left"/>
      <w:pPr>
        <w:tabs>
          <w:tab w:val="num" w:pos="1296"/>
        </w:tabs>
        <w:ind w:left="1296" w:hanging="432"/>
      </w:pPr>
      <w:rPr>
        <w:rFonts w:ascii="Times New Roman" w:hAnsi="Times New Roman" w:hint="default"/>
        <w:b w:val="0"/>
        <w:i w:val="0"/>
        <w:sz w:val="24"/>
        <w:szCs w:val="24"/>
      </w:rPr>
    </w:lvl>
    <w:lvl w:ilvl="3">
      <w:start w:val="1"/>
      <w:numFmt w:val="lowerLetter"/>
      <w:pStyle w:val="OutlineLevel4"/>
      <w:lvlText w:val="%4)"/>
      <w:lvlJc w:val="left"/>
      <w:pPr>
        <w:tabs>
          <w:tab w:val="num" w:pos="1728"/>
        </w:tabs>
        <w:ind w:left="1728" w:hanging="432"/>
      </w:pPr>
      <w:rPr>
        <w:rFonts w:ascii="Times New Roman" w:hAnsi="Times New Roman" w:hint="default"/>
        <w:b w:val="0"/>
        <w:i/>
        <w:color w:val="auto"/>
        <w:sz w:val="24"/>
        <w:szCs w:val="24"/>
      </w:rPr>
    </w:lvl>
    <w:lvl w:ilvl="4">
      <w:start w:val="1"/>
      <w:numFmt w:val="decimal"/>
      <w:pStyle w:val="OutlineLevel5"/>
      <w:lvlText w:val="(%5)"/>
      <w:lvlJc w:val="left"/>
      <w:pPr>
        <w:tabs>
          <w:tab w:val="num" w:pos="2160"/>
        </w:tabs>
        <w:ind w:left="2160" w:hanging="432"/>
      </w:pPr>
      <w:rPr>
        <w:rFonts w:ascii="Times New Roman" w:hAnsi="Times New Roman" w:hint="default"/>
        <w:b w:val="0"/>
        <w:i w:val="0"/>
        <w:sz w:val="24"/>
        <w:szCs w:val="24"/>
      </w:rPr>
    </w:lvl>
    <w:lvl w:ilvl="5">
      <w:start w:val="1"/>
      <w:numFmt w:val="lowerLetter"/>
      <w:pStyle w:val="OutlineLevel6"/>
      <w:lvlText w:val="(%6)"/>
      <w:lvlJc w:val="left"/>
      <w:pPr>
        <w:tabs>
          <w:tab w:val="num" w:pos="2592"/>
        </w:tabs>
        <w:ind w:left="2592" w:hanging="432"/>
      </w:pPr>
      <w:rPr>
        <w:rFonts w:ascii="Times New Roman" w:hAnsi="Times New Roman" w:hint="default"/>
        <w:b w:val="0"/>
        <w:i/>
        <w:sz w:val="24"/>
        <w:szCs w:val="24"/>
      </w:rPr>
    </w:lvl>
    <w:lvl w:ilvl="6">
      <w:start w:val="1"/>
      <w:numFmt w:val="lowerRoman"/>
      <w:pStyle w:val="OutlineLevel7"/>
      <w:lvlText w:val="%7)"/>
      <w:lvlJc w:val="left"/>
      <w:pPr>
        <w:tabs>
          <w:tab w:val="num" w:pos="3024"/>
        </w:tabs>
        <w:ind w:left="3024" w:hanging="432"/>
      </w:pPr>
      <w:rPr>
        <w:rFonts w:ascii="Times New Roman" w:hAnsi="Times New Roman" w:hint="default"/>
        <w:b w:val="0"/>
        <w:i w:val="0"/>
        <w:sz w:val="24"/>
        <w:szCs w:val="24"/>
      </w:rPr>
    </w:lvl>
    <w:lvl w:ilvl="7">
      <w:start w:val="1"/>
      <w:numFmt w:val="decimal"/>
      <w:pStyle w:val="OutlineLevel8"/>
      <w:lvlText w:val="%8)"/>
      <w:lvlJc w:val="left"/>
      <w:pPr>
        <w:tabs>
          <w:tab w:val="num" w:pos="3456"/>
        </w:tabs>
        <w:ind w:left="3456" w:hanging="432"/>
      </w:pPr>
      <w:rPr>
        <w:rFonts w:ascii="Times New Roman" w:hAnsi="Times New Roman" w:hint="default"/>
        <w:b w:val="0"/>
        <w:i w:val="0"/>
        <w:sz w:val="24"/>
        <w:szCs w:val="24"/>
      </w:rPr>
    </w:lvl>
    <w:lvl w:ilvl="8">
      <w:start w:val="1"/>
      <w:numFmt w:val="lowerLetter"/>
      <w:pStyle w:val="OutlineLevel9"/>
      <w:lvlText w:val="%9."/>
      <w:lvlJc w:val="left"/>
      <w:pPr>
        <w:tabs>
          <w:tab w:val="num" w:pos="3888"/>
        </w:tabs>
        <w:ind w:left="3888" w:hanging="432"/>
      </w:pPr>
      <w:rPr>
        <w:rFonts w:ascii="Times New Roman" w:hAnsi="Times New Roman" w:hint="default"/>
        <w:b w:val="0"/>
        <w:i w:val="0"/>
        <w:sz w:val="24"/>
        <w:szCs w:val="24"/>
      </w:rPr>
    </w:lvl>
  </w:abstractNum>
  <w:abstractNum w:abstractNumId="14" w15:restartNumberingAfterBreak="0">
    <w:nsid w:val="6EA27B5E"/>
    <w:multiLevelType w:val="multilevel"/>
    <w:tmpl w:val="8E3640CE"/>
    <w:lvl w:ilvl="0">
      <w:start w:val="1"/>
      <w:numFmt w:val="upperRoman"/>
      <w:pStyle w:val="Heading1"/>
      <w:lvlText w:val="%1."/>
      <w:lvlJc w:val="left"/>
      <w:pPr>
        <w:tabs>
          <w:tab w:val="num" w:pos="720"/>
        </w:tabs>
        <w:ind w:left="720" w:hanging="720"/>
      </w:pPr>
      <w:rPr>
        <w:rFonts w:ascii="Times New Roman" w:hAnsi="Times New Roman" w:cs="Times New Roman" w:hint="default"/>
        <w:b/>
        <w:i w:val="0"/>
        <w:sz w:val="24"/>
        <w:szCs w:val="24"/>
      </w:rPr>
    </w:lvl>
    <w:lvl w:ilvl="1">
      <w:start w:val="1"/>
      <w:numFmt w:val="upperLetter"/>
      <w:pStyle w:val="Heading2"/>
      <w:lvlText w:val="%2."/>
      <w:lvlJc w:val="left"/>
      <w:pPr>
        <w:tabs>
          <w:tab w:val="num" w:pos="1440"/>
        </w:tabs>
        <w:ind w:left="1440" w:hanging="720"/>
      </w:pPr>
      <w:rPr>
        <w:rFonts w:ascii="Times New Roman" w:hAnsi="Times New Roman" w:cs="Times New Roman" w:hint="default"/>
        <w:b/>
        <w:i w:val="0"/>
        <w:sz w:val="24"/>
        <w:szCs w:val="24"/>
      </w:rPr>
    </w:lvl>
    <w:lvl w:ilvl="2">
      <w:start w:val="1"/>
      <w:numFmt w:val="decimal"/>
      <w:pStyle w:val="Heading3"/>
      <w:lvlText w:val="%3."/>
      <w:lvlJc w:val="left"/>
      <w:pPr>
        <w:tabs>
          <w:tab w:val="num" w:pos="2160"/>
        </w:tabs>
        <w:ind w:left="2160" w:hanging="720"/>
      </w:pPr>
      <w:rPr>
        <w:rFonts w:ascii="Times New Roman" w:hAnsi="Times New Roman" w:cs="Times New Roman" w:hint="default"/>
        <w:b/>
        <w:i w:val="0"/>
        <w:sz w:val="24"/>
        <w:szCs w:val="24"/>
      </w:rPr>
    </w:lvl>
    <w:lvl w:ilvl="3">
      <w:start w:val="1"/>
      <w:numFmt w:val="lowerLetter"/>
      <w:pStyle w:val="Heading4"/>
      <w:lvlText w:val="%4)"/>
      <w:lvlJc w:val="left"/>
      <w:pPr>
        <w:tabs>
          <w:tab w:val="num" w:pos="2880"/>
        </w:tabs>
        <w:ind w:left="2880" w:hanging="720"/>
      </w:pPr>
      <w:rPr>
        <w:rFonts w:ascii="Times New Roman" w:hAnsi="Times New Roman" w:cs="Times New Roman" w:hint="default"/>
        <w:b/>
        <w:i w:val="0"/>
        <w:sz w:val="24"/>
        <w:szCs w:val="24"/>
      </w:rPr>
    </w:lvl>
    <w:lvl w:ilvl="4">
      <w:start w:val="1"/>
      <w:numFmt w:val="decimal"/>
      <w:pStyle w:val="Heading5"/>
      <w:lvlText w:val="(%5)"/>
      <w:lvlJc w:val="left"/>
      <w:pPr>
        <w:tabs>
          <w:tab w:val="num" w:pos="3600"/>
        </w:tabs>
        <w:ind w:left="3600" w:hanging="720"/>
      </w:pPr>
      <w:rPr>
        <w:rFonts w:ascii="Times New Roman" w:hAnsi="Times New Roman" w:cs="Times New Roman" w:hint="default"/>
        <w:b/>
        <w:i w:val="0"/>
        <w:sz w:val="24"/>
        <w:szCs w:val="24"/>
      </w:rPr>
    </w:lvl>
    <w:lvl w:ilvl="5">
      <w:start w:val="1"/>
      <w:numFmt w:val="lowerLetter"/>
      <w:pStyle w:val="Heading6"/>
      <w:lvlText w:val="(%6)"/>
      <w:lvlJc w:val="left"/>
      <w:pPr>
        <w:tabs>
          <w:tab w:val="num" w:pos="4320"/>
        </w:tabs>
        <w:ind w:left="4320" w:hanging="720"/>
      </w:pPr>
      <w:rPr>
        <w:rFonts w:ascii="Times New Roman" w:hAnsi="Times New Roman" w:cs="Times New Roman" w:hint="default"/>
        <w:b/>
        <w:i w:val="0"/>
        <w:sz w:val="24"/>
        <w:szCs w:val="24"/>
      </w:rPr>
    </w:lvl>
    <w:lvl w:ilvl="6">
      <w:start w:val="1"/>
      <w:numFmt w:val="lowerRoman"/>
      <w:pStyle w:val="Heading7"/>
      <w:lvlText w:val="%7)"/>
      <w:lvlJc w:val="left"/>
      <w:pPr>
        <w:tabs>
          <w:tab w:val="num" w:pos="5040"/>
        </w:tabs>
        <w:ind w:left="5040" w:hanging="720"/>
      </w:pPr>
      <w:rPr>
        <w:rFonts w:ascii="Times New Roman" w:hAnsi="Times New Roman" w:cs="Times New Roman" w:hint="default"/>
        <w:b/>
        <w:i w:val="0"/>
        <w:sz w:val="24"/>
        <w:szCs w:val="24"/>
      </w:rPr>
    </w:lvl>
    <w:lvl w:ilvl="7">
      <w:start w:val="1"/>
      <w:numFmt w:val="decimal"/>
      <w:pStyle w:val="Heading8"/>
      <w:lvlText w:val="%8)"/>
      <w:lvlJc w:val="left"/>
      <w:pPr>
        <w:tabs>
          <w:tab w:val="num" w:pos="5760"/>
        </w:tabs>
        <w:ind w:left="5760" w:hanging="720"/>
      </w:pPr>
      <w:rPr>
        <w:rFonts w:ascii="Times New Roman" w:hAnsi="Times New Roman" w:cs="Times New Roman" w:hint="default"/>
        <w:b/>
        <w:i w:val="0"/>
        <w:sz w:val="24"/>
        <w:szCs w:val="24"/>
      </w:rPr>
    </w:lvl>
    <w:lvl w:ilvl="8">
      <w:start w:val="1"/>
      <w:numFmt w:val="lowerLetter"/>
      <w:pStyle w:val="Heading9"/>
      <w:lvlText w:val="%9."/>
      <w:lvlJc w:val="left"/>
      <w:pPr>
        <w:tabs>
          <w:tab w:val="num" w:pos="6480"/>
        </w:tabs>
        <w:ind w:left="6480" w:hanging="720"/>
      </w:pPr>
      <w:rPr>
        <w:rFonts w:ascii="Times New Roman" w:hAnsi="Times New Roman" w:cs="Times New Roman" w:hint="default"/>
        <w:b/>
        <w:i w:val="0"/>
        <w:sz w:val="24"/>
        <w:szCs w:val="24"/>
      </w:rPr>
    </w:lvl>
  </w:abstractNum>
  <w:abstractNum w:abstractNumId="15" w15:restartNumberingAfterBreak="0">
    <w:nsid w:val="71896657"/>
    <w:multiLevelType w:val="hybridMultilevel"/>
    <w:tmpl w:val="A962B3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BD84EBF"/>
    <w:multiLevelType w:val="hybridMultilevel"/>
    <w:tmpl w:val="66B4735A"/>
    <w:lvl w:ilvl="0" w:tplc="A18A93B4">
      <w:start w:val="1"/>
      <w:numFmt w:val="decimal"/>
      <w:pStyle w:val="BodyTextIndent2"/>
      <w:lvlText w:val="%1."/>
      <w:lvlJc w:val="left"/>
      <w:pPr>
        <w:tabs>
          <w:tab w:val="num" w:pos="720"/>
        </w:tabs>
        <w:ind w:left="72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581987864">
    <w:abstractNumId w:val="14"/>
  </w:num>
  <w:num w:numId="2" w16cid:durableId="1257326747">
    <w:abstractNumId w:val="9"/>
  </w:num>
  <w:num w:numId="3" w16cid:durableId="527178968">
    <w:abstractNumId w:val="8"/>
  </w:num>
  <w:num w:numId="4" w16cid:durableId="1932541821">
    <w:abstractNumId w:val="3"/>
  </w:num>
  <w:num w:numId="5" w16cid:durableId="743988668">
    <w:abstractNumId w:val="2"/>
  </w:num>
  <w:num w:numId="6" w16cid:durableId="727993527">
    <w:abstractNumId w:val="1"/>
  </w:num>
  <w:num w:numId="7" w16cid:durableId="1963462530">
    <w:abstractNumId w:val="0"/>
  </w:num>
  <w:num w:numId="8" w16cid:durableId="831533060">
    <w:abstractNumId w:val="12"/>
  </w:num>
  <w:num w:numId="9" w16cid:durableId="614601377">
    <w:abstractNumId w:val="7"/>
  </w:num>
  <w:num w:numId="10" w16cid:durableId="1656447985">
    <w:abstractNumId w:val="6"/>
  </w:num>
  <w:num w:numId="11" w16cid:durableId="642004510">
    <w:abstractNumId w:val="5"/>
  </w:num>
  <w:num w:numId="12" w16cid:durableId="53428739">
    <w:abstractNumId w:val="4"/>
  </w:num>
  <w:num w:numId="13" w16cid:durableId="487865314">
    <w:abstractNumId w:val="16"/>
  </w:num>
  <w:num w:numId="14" w16cid:durableId="853762234">
    <w:abstractNumId w:val="13"/>
  </w:num>
  <w:num w:numId="15" w16cid:durableId="1425569593">
    <w:abstractNumId w:val="15"/>
  </w:num>
  <w:num w:numId="16" w16cid:durableId="445463727">
    <w:abstractNumId w:val="10"/>
  </w:num>
  <w:num w:numId="17" w16cid:durableId="198346447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attachedTemplate r:id="rId1"/>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049E"/>
    <w:rsid w:val="00011B78"/>
    <w:rsid w:val="00011FDF"/>
    <w:rsid w:val="00024715"/>
    <w:rsid w:val="000314F6"/>
    <w:rsid w:val="000453D8"/>
    <w:rsid w:val="00056E9C"/>
    <w:rsid w:val="000635BB"/>
    <w:rsid w:val="00063997"/>
    <w:rsid w:val="00071F90"/>
    <w:rsid w:val="00084CBC"/>
    <w:rsid w:val="00093821"/>
    <w:rsid w:val="000A4550"/>
    <w:rsid w:val="000C0167"/>
    <w:rsid w:val="000C3E02"/>
    <w:rsid w:val="000C7C34"/>
    <w:rsid w:val="00112E75"/>
    <w:rsid w:val="00115DF2"/>
    <w:rsid w:val="00122DBE"/>
    <w:rsid w:val="00137D2D"/>
    <w:rsid w:val="00146E7C"/>
    <w:rsid w:val="00197E9F"/>
    <w:rsid w:val="001A2FFF"/>
    <w:rsid w:val="001B50B5"/>
    <w:rsid w:val="001C1E9D"/>
    <w:rsid w:val="001D3277"/>
    <w:rsid w:val="001F13DE"/>
    <w:rsid w:val="001F5AEF"/>
    <w:rsid w:val="0020555C"/>
    <w:rsid w:val="002170F0"/>
    <w:rsid w:val="0021773A"/>
    <w:rsid w:val="002213FE"/>
    <w:rsid w:val="00227E98"/>
    <w:rsid w:val="002302D7"/>
    <w:rsid w:val="00236D94"/>
    <w:rsid w:val="00251D5F"/>
    <w:rsid w:val="00254958"/>
    <w:rsid w:val="0025757E"/>
    <w:rsid w:val="00273A0D"/>
    <w:rsid w:val="00275E92"/>
    <w:rsid w:val="0028551C"/>
    <w:rsid w:val="00290818"/>
    <w:rsid w:val="002B68B8"/>
    <w:rsid w:val="002D2F6C"/>
    <w:rsid w:val="002E04B4"/>
    <w:rsid w:val="002F02B1"/>
    <w:rsid w:val="00307222"/>
    <w:rsid w:val="0031302B"/>
    <w:rsid w:val="003271C4"/>
    <w:rsid w:val="00330892"/>
    <w:rsid w:val="003333DA"/>
    <w:rsid w:val="00362150"/>
    <w:rsid w:val="003858C1"/>
    <w:rsid w:val="0039057E"/>
    <w:rsid w:val="003905BA"/>
    <w:rsid w:val="003961A0"/>
    <w:rsid w:val="003A44BA"/>
    <w:rsid w:val="003A457F"/>
    <w:rsid w:val="003B1084"/>
    <w:rsid w:val="003C0FD9"/>
    <w:rsid w:val="003E3499"/>
    <w:rsid w:val="003E413D"/>
    <w:rsid w:val="0040068A"/>
    <w:rsid w:val="00402131"/>
    <w:rsid w:val="00411DCE"/>
    <w:rsid w:val="004157E6"/>
    <w:rsid w:val="004265E3"/>
    <w:rsid w:val="00430E92"/>
    <w:rsid w:val="00435E61"/>
    <w:rsid w:val="00441799"/>
    <w:rsid w:val="00445BB5"/>
    <w:rsid w:val="00455155"/>
    <w:rsid w:val="004561A6"/>
    <w:rsid w:val="00480B36"/>
    <w:rsid w:val="0048286A"/>
    <w:rsid w:val="00492181"/>
    <w:rsid w:val="00495552"/>
    <w:rsid w:val="00497CFD"/>
    <w:rsid w:val="004A5A87"/>
    <w:rsid w:val="004A5EED"/>
    <w:rsid w:val="004B38DD"/>
    <w:rsid w:val="004C2056"/>
    <w:rsid w:val="004C5135"/>
    <w:rsid w:val="004D2A01"/>
    <w:rsid w:val="004E34BC"/>
    <w:rsid w:val="005031EC"/>
    <w:rsid w:val="00515A0C"/>
    <w:rsid w:val="00523CE2"/>
    <w:rsid w:val="005259D8"/>
    <w:rsid w:val="00532672"/>
    <w:rsid w:val="00563BAE"/>
    <w:rsid w:val="00567E82"/>
    <w:rsid w:val="00583270"/>
    <w:rsid w:val="00587EF1"/>
    <w:rsid w:val="00591B48"/>
    <w:rsid w:val="005B108C"/>
    <w:rsid w:val="005C0B55"/>
    <w:rsid w:val="00601FB1"/>
    <w:rsid w:val="00603C45"/>
    <w:rsid w:val="00604DE4"/>
    <w:rsid w:val="00606000"/>
    <w:rsid w:val="00610FCE"/>
    <w:rsid w:val="006137C8"/>
    <w:rsid w:val="00614A67"/>
    <w:rsid w:val="00617B3D"/>
    <w:rsid w:val="00620D74"/>
    <w:rsid w:val="0065097D"/>
    <w:rsid w:val="00664DA0"/>
    <w:rsid w:val="00672610"/>
    <w:rsid w:val="006953A1"/>
    <w:rsid w:val="006A0706"/>
    <w:rsid w:val="006B6231"/>
    <w:rsid w:val="006B6CE9"/>
    <w:rsid w:val="006C0E8B"/>
    <w:rsid w:val="006C3865"/>
    <w:rsid w:val="006C637D"/>
    <w:rsid w:val="006C7138"/>
    <w:rsid w:val="006D5000"/>
    <w:rsid w:val="006E6B00"/>
    <w:rsid w:val="006F1DB6"/>
    <w:rsid w:val="006F5F7A"/>
    <w:rsid w:val="006F71AE"/>
    <w:rsid w:val="006F71ED"/>
    <w:rsid w:val="00702BB9"/>
    <w:rsid w:val="00703DD0"/>
    <w:rsid w:val="00715155"/>
    <w:rsid w:val="007159BD"/>
    <w:rsid w:val="007363C0"/>
    <w:rsid w:val="00737E44"/>
    <w:rsid w:val="00742794"/>
    <w:rsid w:val="00751C33"/>
    <w:rsid w:val="00755FDE"/>
    <w:rsid w:val="007667BE"/>
    <w:rsid w:val="007744E2"/>
    <w:rsid w:val="00776D5F"/>
    <w:rsid w:val="00781027"/>
    <w:rsid w:val="007917A6"/>
    <w:rsid w:val="0079231F"/>
    <w:rsid w:val="007B63E4"/>
    <w:rsid w:val="007C55D8"/>
    <w:rsid w:val="007D3178"/>
    <w:rsid w:val="007E16BA"/>
    <w:rsid w:val="007E5B99"/>
    <w:rsid w:val="007E72E4"/>
    <w:rsid w:val="007F0B91"/>
    <w:rsid w:val="007F2A21"/>
    <w:rsid w:val="007F63D6"/>
    <w:rsid w:val="008018D9"/>
    <w:rsid w:val="00803E1A"/>
    <w:rsid w:val="00805BF5"/>
    <w:rsid w:val="008130DE"/>
    <w:rsid w:val="00824DBB"/>
    <w:rsid w:val="00824EA7"/>
    <w:rsid w:val="0083149D"/>
    <w:rsid w:val="008417AC"/>
    <w:rsid w:val="0085001A"/>
    <w:rsid w:val="008549F2"/>
    <w:rsid w:val="008652A3"/>
    <w:rsid w:val="00877B1B"/>
    <w:rsid w:val="008913EB"/>
    <w:rsid w:val="008A3F4C"/>
    <w:rsid w:val="008C3B26"/>
    <w:rsid w:val="008C5916"/>
    <w:rsid w:val="008D00B1"/>
    <w:rsid w:val="008D7A72"/>
    <w:rsid w:val="008E1ACF"/>
    <w:rsid w:val="00905E9A"/>
    <w:rsid w:val="00905F87"/>
    <w:rsid w:val="00912782"/>
    <w:rsid w:val="00944617"/>
    <w:rsid w:val="009471A8"/>
    <w:rsid w:val="0096229B"/>
    <w:rsid w:val="0096452E"/>
    <w:rsid w:val="00964644"/>
    <w:rsid w:val="00980B1F"/>
    <w:rsid w:val="009A6CA9"/>
    <w:rsid w:val="009B5CD6"/>
    <w:rsid w:val="009E7B7E"/>
    <w:rsid w:val="009F19E6"/>
    <w:rsid w:val="00A2588D"/>
    <w:rsid w:val="00A36E8A"/>
    <w:rsid w:val="00A4008B"/>
    <w:rsid w:val="00A43EFF"/>
    <w:rsid w:val="00A4692B"/>
    <w:rsid w:val="00A6127C"/>
    <w:rsid w:val="00A65FD1"/>
    <w:rsid w:val="00A7036C"/>
    <w:rsid w:val="00A72DF9"/>
    <w:rsid w:val="00A72FC5"/>
    <w:rsid w:val="00A77ED6"/>
    <w:rsid w:val="00A95E5C"/>
    <w:rsid w:val="00AA29DD"/>
    <w:rsid w:val="00AA41F1"/>
    <w:rsid w:val="00AF57FE"/>
    <w:rsid w:val="00B31FC8"/>
    <w:rsid w:val="00B32F87"/>
    <w:rsid w:val="00B60368"/>
    <w:rsid w:val="00B63034"/>
    <w:rsid w:val="00B72E86"/>
    <w:rsid w:val="00B9731A"/>
    <w:rsid w:val="00BA0842"/>
    <w:rsid w:val="00BA4687"/>
    <w:rsid w:val="00BA5F32"/>
    <w:rsid w:val="00BB38BC"/>
    <w:rsid w:val="00BC6C12"/>
    <w:rsid w:val="00BD6313"/>
    <w:rsid w:val="00BE2AFB"/>
    <w:rsid w:val="00BE626C"/>
    <w:rsid w:val="00C003CB"/>
    <w:rsid w:val="00C476C0"/>
    <w:rsid w:val="00C530A5"/>
    <w:rsid w:val="00C544CB"/>
    <w:rsid w:val="00C56047"/>
    <w:rsid w:val="00C77100"/>
    <w:rsid w:val="00C83D1C"/>
    <w:rsid w:val="00C87FF8"/>
    <w:rsid w:val="00C909F5"/>
    <w:rsid w:val="00C93D66"/>
    <w:rsid w:val="00C95D30"/>
    <w:rsid w:val="00C96350"/>
    <w:rsid w:val="00CB220E"/>
    <w:rsid w:val="00CB70EF"/>
    <w:rsid w:val="00CC3CED"/>
    <w:rsid w:val="00CC7D47"/>
    <w:rsid w:val="00CE06A4"/>
    <w:rsid w:val="00D02E65"/>
    <w:rsid w:val="00D03276"/>
    <w:rsid w:val="00D11325"/>
    <w:rsid w:val="00D12393"/>
    <w:rsid w:val="00D12A98"/>
    <w:rsid w:val="00D21FA2"/>
    <w:rsid w:val="00D33EFC"/>
    <w:rsid w:val="00D61A0C"/>
    <w:rsid w:val="00D66664"/>
    <w:rsid w:val="00D67172"/>
    <w:rsid w:val="00DB28D6"/>
    <w:rsid w:val="00E10F82"/>
    <w:rsid w:val="00E10FBF"/>
    <w:rsid w:val="00E20E0F"/>
    <w:rsid w:val="00E24B63"/>
    <w:rsid w:val="00E24F1C"/>
    <w:rsid w:val="00E372BC"/>
    <w:rsid w:val="00E37E26"/>
    <w:rsid w:val="00E535E5"/>
    <w:rsid w:val="00E95E74"/>
    <w:rsid w:val="00EA79C0"/>
    <w:rsid w:val="00EB2E2A"/>
    <w:rsid w:val="00EC022D"/>
    <w:rsid w:val="00EC3E7B"/>
    <w:rsid w:val="00ED0CA9"/>
    <w:rsid w:val="00ED282E"/>
    <w:rsid w:val="00EE6CED"/>
    <w:rsid w:val="00F33122"/>
    <w:rsid w:val="00F4383B"/>
    <w:rsid w:val="00F642E6"/>
    <w:rsid w:val="00F6634A"/>
    <w:rsid w:val="00F70061"/>
    <w:rsid w:val="00F704C9"/>
    <w:rsid w:val="00F82D4D"/>
    <w:rsid w:val="00F9049E"/>
    <w:rsid w:val="00F94E9C"/>
    <w:rsid w:val="00F97975"/>
    <w:rsid w:val="00FB7B0B"/>
    <w:rsid w:val="00FC13FA"/>
    <w:rsid w:val="00FC22D5"/>
    <w:rsid w:val="00FC531D"/>
    <w:rsid w:val="00FD69FF"/>
    <w:rsid w:val="00FE0640"/>
    <w:rsid w:val="00FE2662"/>
    <w:rsid w:val="00FE3827"/>
    <w:rsid w:val="00FE76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8D89A1"/>
  <w15:chartTrackingRefBased/>
  <w15:docId w15:val="{515F768F-A28F-41EF-92E5-A56050D34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61A0C"/>
    <w:rPr>
      <w:sz w:val="24"/>
    </w:rPr>
  </w:style>
  <w:style w:type="paragraph" w:styleId="Heading1">
    <w:name w:val="heading 1"/>
    <w:next w:val="BodyText"/>
    <w:autoRedefine/>
    <w:qFormat/>
    <w:rsid w:val="00BA4687"/>
    <w:pPr>
      <w:keepNext/>
      <w:numPr>
        <w:numId w:val="1"/>
      </w:numPr>
      <w:spacing w:before="480" w:after="360"/>
      <w:outlineLvl w:val="0"/>
    </w:pPr>
    <w:rPr>
      <w:rFonts w:cs="Arial"/>
      <w:b/>
      <w:bCs/>
      <w:kern w:val="32"/>
      <w:sz w:val="24"/>
      <w:szCs w:val="24"/>
    </w:rPr>
  </w:style>
  <w:style w:type="paragraph" w:styleId="Heading2">
    <w:name w:val="heading 2"/>
    <w:next w:val="BodyText"/>
    <w:autoRedefine/>
    <w:qFormat/>
    <w:rsid w:val="00BA4687"/>
    <w:pPr>
      <w:keepNext/>
      <w:numPr>
        <w:ilvl w:val="1"/>
        <w:numId w:val="1"/>
      </w:numPr>
      <w:spacing w:before="240" w:after="360"/>
      <w:outlineLvl w:val="1"/>
    </w:pPr>
    <w:rPr>
      <w:rFonts w:eastAsia="Times"/>
      <w:b/>
      <w:sz w:val="24"/>
    </w:rPr>
  </w:style>
  <w:style w:type="paragraph" w:styleId="Heading3">
    <w:name w:val="heading 3"/>
    <w:next w:val="BodyText"/>
    <w:autoRedefine/>
    <w:qFormat/>
    <w:rsid w:val="006C7138"/>
    <w:pPr>
      <w:keepNext/>
      <w:numPr>
        <w:ilvl w:val="2"/>
        <w:numId w:val="1"/>
      </w:numPr>
      <w:spacing w:before="360" w:after="360"/>
      <w:outlineLvl w:val="2"/>
    </w:pPr>
    <w:rPr>
      <w:b/>
      <w:bCs/>
      <w:sz w:val="24"/>
      <w:szCs w:val="24"/>
    </w:rPr>
  </w:style>
  <w:style w:type="paragraph" w:styleId="Heading4">
    <w:name w:val="heading 4"/>
    <w:next w:val="BodyText"/>
    <w:autoRedefine/>
    <w:qFormat/>
    <w:rsid w:val="00BA4687"/>
    <w:pPr>
      <w:keepNext/>
      <w:numPr>
        <w:ilvl w:val="3"/>
        <w:numId w:val="1"/>
      </w:numPr>
      <w:spacing w:before="360" w:after="360"/>
      <w:outlineLvl w:val="3"/>
    </w:pPr>
    <w:rPr>
      <w:b/>
      <w:bCs/>
      <w:sz w:val="24"/>
      <w:szCs w:val="28"/>
    </w:rPr>
  </w:style>
  <w:style w:type="paragraph" w:styleId="Heading5">
    <w:name w:val="heading 5"/>
    <w:next w:val="BodyText"/>
    <w:autoRedefine/>
    <w:qFormat/>
    <w:rsid w:val="00BA4687"/>
    <w:pPr>
      <w:numPr>
        <w:ilvl w:val="4"/>
        <w:numId w:val="1"/>
      </w:numPr>
      <w:spacing w:before="360" w:after="360"/>
      <w:outlineLvl w:val="4"/>
    </w:pPr>
    <w:rPr>
      <w:b/>
      <w:bCs/>
      <w:iCs/>
      <w:sz w:val="24"/>
      <w:szCs w:val="26"/>
    </w:rPr>
  </w:style>
  <w:style w:type="paragraph" w:styleId="Heading6">
    <w:name w:val="heading 6"/>
    <w:next w:val="BodyText"/>
    <w:autoRedefine/>
    <w:qFormat/>
    <w:rsid w:val="00BA4687"/>
    <w:pPr>
      <w:numPr>
        <w:ilvl w:val="5"/>
        <w:numId w:val="1"/>
      </w:numPr>
      <w:spacing w:before="360" w:after="360"/>
      <w:outlineLvl w:val="5"/>
    </w:pPr>
    <w:rPr>
      <w:b/>
      <w:bCs/>
      <w:sz w:val="24"/>
      <w:szCs w:val="22"/>
    </w:rPr>
  </w:style>
  <w:style w:type="paragraph" w:styleId="Heading7">
    <w:name w:val="heading 7"/>
    <w:next w:val="BodyText"/>
    <w:autoRedefine/>
    <w:qFormat/>
    <w:rsid w:val="00BA4687"/>
    <w:pPr>
      <w:numPr>
        <w:ilvl w:val="6"/>
        <w:numId w:val="1"/>
      </w:numPr>
      <w:spacing w:before="360" w:after="360"/>
      <w:outlineLvl w:val="6"/>
    </w:pPr>
    <w:rPr>
      <w:b/>
      <w:sz w:val="24"/>
      <w:szCs w:val="24"/>
    </w:rPr>
  </w:style>
  <w:style w:type="paragraph" w:styleId="Heading8">
    <w:name w:val="heading 8"/>
    <w:next w:val="BodyText"/>
    <w:autoRedefine/>
    <w:qFormat/>
    <w:rsid w:val="00BA4687"/>
    <w:pPr>
      <w:numPr>
        <w:ilvl w:val="7"/>
        <w:numId w:val="1"/>
      </w:numPr>
      <w:spacing w:before="360" w:after="360"/>
      <w:outlineLvl w:val="7"/>
    </w:pPr>
    <w:rPr>
      <w:b/>
      <w:iCs/>
      <w:sz w:val="24"/>
      <w:szCs w:val="24"/>
    </w:rPr>
  </w:style>
  <w:style w:type="paragraph" w:styleId="Heading9">
    <w:name w:val="heading 9"/>
    <w:next w:val="BodyText"/>
    <w:autoRedefine/>
    <w:qFormat/>
    <w:rsid w:val="006C7138"/>
    <w:pPr>
      <w:numPr>
        <w:ilvl w:val="8"/>
        <w:numId w:val="1"/>
      </w:numPr>
      <w:spacing w:before="360" w:after="360"/>
      <w:outlineLvl w:val="8"/>
    </w:pPr>
    <w:rPr>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
    <w:name w:val="Body Text First Indent"/>
    <w:autoRedefine/>
    <w:rsid w:val="00A72FC5"/>
    <w:pPr>
      <w:spacing w:before="120" w:after="120" w:line="360" w:lineRule="auto"/>
      <w:ind w:left="720"/>
      <w:contextualSpacing/>
    </w:pPr>
    <w:rPr>
      <w:sz w:val="24"/>
      <w:szCs w:val="24"/>
    </w:rPr>
  </w:style>
  <w:style w:type="paragraph" w:styleId="BodyTextIndent">
    <w:name w:val="Body Text Indent"/>
    <w:link w:val="BodyTextIndentChar"/>
    <w:autoRedefine/>
    <w:rsid w:val="00AA29DD"/>
    <w:pPr>
      <w:spacing w:before="120" w:after="120" w:line="360" w:lineRule="auto"/>
      <w:ind w:left="720" w:firstLine="720"/>
      <w:contextualSpacing/>
    </w:pPr>
    <w:rPr>
      <w:rFonts w:cs="Tahoma"/>
      <w:sz w:val="24"/>
      <w:szCs w:val="16"/>
    </w:rPr>
  </w:style>
  <w:style w:type="paragraph" w:styleId="BlockText">
    <w:name w:val="Block Text"/>
    <w:next w:val="BodyText"/>
    <w:autoRedefine/>
    <w:rsid w:val="00FE2662"/>
    <w:pPr>
      <w:spacing w:before="360" w:after="360"/>
      <w:ind w:left="720" w:right="720"/>
    </w:pPr>
    <w:rPr>
      <w:sz w:val="24"/>
      <w:szCs w:val="24"/>
    </w:rPr>
  </w:style>
  <w:style w:type="paragraph" w:styleId="BodyText">
    <w:name w:val="Body Text"/>
    <w:autoRedefine/>
    <w:rsid w:val="00BA4687"/>
    <w:pPr>
      <w:spacing w:before="120" w:after="120" w:line="360" w:lineRule="auto"/>
      <w:ind w:firstLine="720"/>
      <w:contextualSpacing/>
    </w:pPr>
    <w:rPr>
      <w:sz w:val="24"/>
      <w:szCs w:val="24"/>
    </w:rPr>
  </w:style>
  <w:style w:type="paragraph" w:styleId="Footer">
    <w:name w:val="footer"/>
    <w:autoRedefine/>
    <w:rsid w:val="00C83D1C"/>
    <w:pPr>
      <w:tabs>
        <w:tab w:val="center" w:pos="4680"/>
        <w:tab w:val="right" w:pos="9360"/>
      </w:tabs>
    </w:pPr>
    <w:rPr>
      <w:rFonts w:ascii="Arial" w:hAnsi="Arial"/>
      <w:sz w:val="16"/>
      <w:szCs w:val="16"/>
    </w:rPr>
  </w:style>
  <w:style w:type="character" w:styleId="HTMLAcronym">
    <w:name w:val="HTML Acronym"/>
    <w:basedOn w:val="DefaultParagraphFont"/>
    <w:rsid w:val="00093821"/>
  </w:style>
  <w:style w:type="paragraph" w:styleId="FootnoteText">
    <w:name w:val="footnote text"/>
    <w:autoRedefine/>
    <w:semiHidden/>
    <w:rsid w:val="00093821"/>
    <w:pPr>
      <w:spacing w:before="20" w:after="20" w:line="228" w:lineRule="auto"/>
    </w:pPr>
    <w:rPr>
      <w:rFonts w:ascii="Arial" w:hAnsi="Arial"/>
      <w:sz w:val="18"/>
      <w:szCs w:val="18"/>
    </w:rPr>
  </w:style>
  <w:style w:type="character" w:styleId="FootnoteReference">
    <w:name w:val="footnote reference"/>
    <w:basedOn w:val="DefaultParagraphFont"/>
    <w:semiHidden/>
    <w:rsid w:val="00093821"/>
    <w:rPr>
      <w:rFonts w:ascii="Arial" w:hAnsi="Arial"/>
      <w:sz w:val="18"/>
      <w:szCs w:val="18"/>
      <w:vertAlign w:val="superscript"/>
    </w:rPr>
  </w:style>
  <w:style w:type="paragraph" w:styleId="BodyText2">
    <w:name w:val="Body Text 2"/>
    <w:next w:val="BodyText"/>
    <w:autoRedefine/>
    <w:rsid w:val="006137C8"/>
    <w:pPr>
      <w:spacing w:before="120" w:after="120" w:line="360" w:lineRule="auto"/>
    </w:pPr>
    <w:rPr>
      <w:sz w:val="24"/>
      <w:szCs w:val="24"/>
    </w:rPr>
  </w:style>
  <w:style w:type="paragraph" w:customStyle="1" w:styleId="BodyTextNum">
    <w:name w:val="Body Text Num"/>
    <w:autoRedefine/>
    <w:rsid w:val="00AA29DD"/>
    <w:pPr>
      <w:numPr>
        <w:numId w:val="8"/>
      </w:numPr>
      <w:spacing w:before="120" w:after="120" w:line="360" w:lineRule="auto"/>
      <w:contextualSpacing/>
    </w:pPr>
    <w:rPr>
      <w:sz w:val="24"/>
      <w:szCs w:val="24"/>
    </w:rPr>
  </w:style>
  <w:style w:type="paragraph" w:styleId="List">
    <w:name w:val="List"/>
    <w:autoRedefine/>
    <w:rsid w:val="004E34BC"/>
    <w:pPr>
      <w:spacing w:before="360" w:after="360"/>
      <w:ind w:left="360" w:hanging="360"/>
      <w:contextualSpacing/>
    </w:pPr>
    <w:rPr>
      <w:sz w:val="24"/>
      <w:szCs w:val="24"/>
    </w:rPr>
  </w:style>
  <w:style w:type="paragraph" w:styleId="List2">
    <w:name w:val="List 2"/>
    <w:autoRedefine/>
    <w:rsid w:val="004E34BC"/>
    <w:pPr>
      <w:spacing w:before="360" w:after="360"/>
      <w:ind w:left="720" w:hanging="360"/>
      <w:contextualSpacing/>
    </w:pPr>
    <w:rPr>
      <w:sz w:val="24"/>
      <w:szCs w:val="24"/>
    </w:rPr>
  </w:style>
  <w:style w:type="paragraph" w:styleId="ListBullet">
    <w:name w:val="List Bullet"/>
    <w:autoRedefine/>
    <w:rsid w:val="00A7036C"/>
    <w:pPr>
      <w:numPr>
        <w:numId w:val="2"/>
      </w:numPr>
    </w:pPr>
    <w:rPr>
      <w:sz w:val="24"/>
      <w:szCs w:val="24"/>
    </w:rPr>
  </w:style>
  <w:style w:type="paragraph" w:styleId="List5">
    <w:name w:val="List 5"/>
    <w:autoRedefine/>
    <w:rsid w:val="004E34BC"/>
    <w:pPr>
      <w:spacing w:before="360" w:after="360"/>
      <w:ind w:left="1800" w:hanging="360"/>
      <w:contextualSpacing/>
    </w:pPr>
    <w:rPr>
      <w:sz w:val="24"/>
      <w:szCs w:val="24"/>
    </w:rPr>
  </w:style>
  <w:style w:type="paragraph" w:customStyle="1" w:styleId="OutlineLevel1">
    <w:name w:val="Outline Level 1"/>
    <w:autoRedefine/>
    <w:rsid w:val="00115DF2"/>
    <w:pPr>
      <w:numPr>
        <w:numId w:val="14"/>
      </w:numPr>
      <w:spacing w:before="120" w:after="120"/>
    </w:pPr>
    <w:rPr>
      <w:sz w:val="24"/>
    </w:rPr>
  </w:style>
  <w:style w:type="paragraph" w:customStyle="1" w:styleId="OutlineLevel2">
    <w:name w:val="Outline Level 2"/>
    <w:autoRedefine/>
    <w:rsid w:val="00115DF2"/>
    <w:pPr>
      <w:numPr>
        <w:ilvl w:val="1"/>
        <w:numId w:val="14"/>
      </w:numPr>
      <w:spacing w:before="120" w:after="120"/>
      <w:contextualSpacing/>
    </w:pPr>
    <w:rPr>
      <w:sz w:val="24"/>
    </w:rPr>
  </w:style>
  <w:style w:type="paragraph" w:customStyle="1" w:styleId="OutlineLevel3">
    <w:name w:val="Outline Level 3"/>
    <w:autoRedefine/>
    <w:rsid w:val="00115DF2"/>
    <w:pPr>
      <w:numPr>
        <w:ilvl w:val="2"/>
        <w:numId w:val="14"/>
      </w:numPr>
      <w:spacing w:before="120" w:after="120"/>
      <w:contextualSpacing/>
    </w:pPr>
    <w:rPr>
      <w:sz w:val="24"/>
    </w:rPr>
  </w:style>
  <w:style w:type="paragraph" w:customStyle="1" w:styleId="OutlineLevel4">
    <w:name w:val="Outline Level 4"/>
    <w:autoRedefine/>
    <w:rsid w:val="00115DF2"/>
    <w:pPr>
      <w:numPr>
        <w:ilvl w:val="3"/>
        <w:numId w:val="14"/>
      </w:numPr>
      <w:spacing w:before="120" w:after="120"/>
      <w:contextualSpacing/>
    </w:pPr>
    <w:rPr>
      <w:sz w:val="24"/>
    </w:rPr>
  </w:style>
  <w:style w:type="paragraph" w:customStyle="1" w:styleId="OutlineLevel5">
    <w:name w:val="Outline Level 5"/>
    <w:autoRedefine/>
    <w:rsid w:val="00115DF2"/>
    <w:pPr>
      <w:numPr>
        <w:ilvl w:val="4"/>
        <w:numId w:val="14"/>
      </w:numPr>
      <w:spacing w:before="120" w:after="120"/>
      <w:contextualSpacing/>
    </w:pPr>
    <w:rPr>
      <w:sz w:val="24"/>
    </w:rPr>
  </w:style>
  <w:style w:type="paragraph" w:customStyle="1" w:styleId="OutlineLevel6">
    <w:name w:val="Outline Level 6"/>
    <w:autoRedefine/>
    <w:rsid w:val="00115DF2"/>
    <w:pPr>
      <w:numPr>
        <w:ilvl w:val="5"/>
        <w:numId w:val="14"/>
      </w:numPr>
      <w:spacing w:before="120" w:after="120"/>
      <w:contextualSpacing/>
    </w:pPr>
    <w:rPr>
      <w:sz w:val="24"/>
    </w:rPr>
  </w:style>
  <w:style w:type="paragraph" w:customStyle="1" w:styleId="OutlineLevel7">
    <w:name w:val="Outline Level 7"/>
    <w:autoRedefine/>
    <w:rsid w:val="00115DF2"/>
    <w:pPr>
      <w:numPr>
        <w:ilvl w:val="6"/>
        <w:numId w:val="14"/>
      </w:numPr>
      <w:spacing w:before="120" w:after="120"/>
      <w:contextualSpacing/>
    </w:pPr>
    <w:rPr>
      <w:sz w:val="24"/>
    </w:rPr>
  </w:style>
  <w:style w:type="paragraph" w:customStyle="1" w:styleId="OutlineLevel8">
    <w:name w:val="Outline Level 8"/>
    <w:autoRedefine/>
    <w:rsid w:val="00115DF2"/>
    <w:pPr>
      <w:numPr>
        <w:ilvl w:val="7"/>
        <w:numId w:val="14"/>
      </w:numPr>
      <w:spacing w:before="120" w:after="120"/>
      <w:contextualSpacing/>
    </w:pPr>
    <w:rPr>
      <w:sz w:val="24"/>
    </w:rPr>
  </w:style>
  <w:style w:type="paragraph" w:customStyle="1" w:styleId="OutlineLevel9">
    <w:name w:val="Outline Level 9"/>
    <w:autoRedefine/>
    <w:rsid w:val="00115DF2"/>
    <w:pPr>
      <w:numPr>
        <w:ilvl w:val="8"/>
        <w:numId w:val="14"/>
      </w:numPr>
      <w:spacing w:before="120" w:after="120"/>
      <w:contextualSpacing/>
    </w:pPr>
    <w:rPr>
      <w:sz w:val="24"/>
      <w:szCs w:val="24"/>
    </w:rPr>
  </w:style>
  <w:style w:type="paragraph" w:styleId="BodyTextFirstIndent2">
    <w:name w:val="Body Text First Indent 2"/>
    <w:autoRedefine/>
    <w:rsid w:val="00A72FC5"/>
    <w:pPr>
      <w:spacing w:before="120" w:after="120" w:line="360" w:lineRule="auto"/>
      <w:ind w:left="720"/>
      <w:contextualSpacing/>
    </w:pPr>
    <w:rPr>
      <w:sz w:val="24"/>
      <w:szCs w:val="24"/>
    </w:rPr>
  </w:style>
  <w:style w:type="paragraph" w:styleId="BodyTextIndent2">
    <w:name w:val="Body Text Indent 2"/>
    <w:autoRedefine/>
    <w:rsid w:val="00AA29DD"/>
    <w:pPr>
      <w:numPr>
        <w:numId w:val="13"/>
      </w:numPr>
      <w:spacing w:before="120" w:after="120" w:line="360" w:lineRule="auto"/>
      <w:contextualSpacing/>
    </w:pPr>
    <w:rPr>
      <w:sz w:val="24"/>
      <w:szCs w:val="24"/>
    </w:rPr>
  </w:style>
  <w:style w:type="paragraph" w:styleId="BalloonText">
    <w:name w:val="Balloon Text"/>
    <w:basedOn w:val="Normal"/>
    <w:semiHidden/>
    <w:rsid w:val="00A72FC5"/>
    <w:rPr>
      <w:rFonts w:ascii="Tahoma" w:hAnsi="Tahoma" w:cs="Tahoma"/>
      <w:sz w:val="16"/>
      <w:szCs w:val="16"/>
    </w:rPr>
  </w:style>
  <w:style w:type="character" w:customStyle="1" w:styleId="BodyTextIndentChar">
    <w:name w:val="Body Text Indent Char"/>
    <w:basedOn w:val="DefaultParagraphFont"/>
    <w:link w:val="BodyTextIndent"/>
    <w:rsid w:val="00AA29DD"/>
    <w:rPr>
      <w:rFonts w:cs="Tahoma"/>
      <w:sz w:val="24"/>
      <w:szCs w:val="16"/>
      <w:lang w:val="en-US" w:eastAsia="en-US" w:bidi="ar-SA"/>
    </w:rPr>
  </w:style>
  <w:style w:type="paragraph" w:styleId="ListNumber">
    <w:name w:val="List Number"/>
    <w:autoRedefine/>
    <w:rsid w:val="004A5EED"/>
    <w:pPr>
      <w:numPr>
        <w:numId w:val="3"/>
      </w:numPr>
      <w:spacing w:before="360" w:after="360"/>
      <w:ind w:left="720"/>
      <w:contextualSpacing/>
    </w:pPr>
    <w:rPr>
      <w:sz w:val="24"/>
      <w:szCs w:val="24"/>
    </w:rPr>
  </w:style>
  <w:style w:type="paragraph" w:styleId="ListNumber2">
    <w:name w:val="List Number 2"/>
    <w:autoRedefine/>
    <w:rsid w:val="004A5EED"/>
    <w:pPr>
      <w:numPr>
        <w:numId w:val="4"/>
      </w:numPr>
      <w:spacing w:before="360" w:after="360"/>
      <w:contextualSpacing/>
    </w:pPr>
    <w:rPr>
      <w:sz w:val="24"/>
      <w:szCs w:val="24"/>
    </w:rPr>
  </w:style>
  <w:style w:type="paragraph" w:styleId="ListNumber3">
    <w:name w:val="List Number 3"/>
    <w:autoRedefine/>
    <w:rsid w:val="00776D5F"/>
    <w:pPr>
      <w:numPr>
        <w:numId w:val="5"/>
      </w:numPr>
      <w:spacing w:before="360" w:after="360"/>
      <w:contextualSpacing/>
    </w:pPr>
    <w:rPr>
      <w:sz w:val="24"/>
      <w:szCs w:val="24"/>
    </w:rPr>
  </w:style>
  <w:style w:type="paragraph" w:styleId="ListNumber4">
    <w:name w:val="List Number 4"/>
    <w:autoRedefine/>
    <w:rsid w:val="00776D5F"/>
    <w:pPr>
      <w:numPr>
        <w:numId w:val="6"/>
      </w:numPr>
      <w:spacing w:before="360" w:after="360"/>
      <w:contextualSpacing/>
    </w:pPr>
    <w:rPr>
      <w:sz w:val="24"/>
      <w:szCs w:val="24"/>
    </w:rPr>
  </w:style>
  <w:style w:type="paragraph" w:styleId="ListNumber5">
    <w:name w:val="List Number 5"/>
    <w:autoRedefine/>
    <w:rsid w:val="00776D5F"/>
    <w:pPr>
      <w:numPr>
        <w:numId w:val="7"/>
      </w:numPr>
      <w:spacing w:before="360" w:after="360"/>
      <w:contextualSpacing/>
    </w:pPr>
    <w:rPr>
      <w:sz w:val="24"/>
      <w:szCs w:val="24"/>
    </w:rPr>
  </w:style>
  <w:style w:type="paragraph" w:styleId="ListBullet2">
    <w:name w:val="List Bullet 2"/>
    <w:autoRedefine/>
    <w:rsid w:val="00A7036C"/>
    <w:pPr>
      <w:numPr>
        <w:numId w:val="9"/>
      </w:numPr>
      <w:spacing w:before="120" w:after="120"/>
      <w:contextualSpacing/>
    </w:pPr>
    <w:rPr>
      <w:sz w:val="24"/>
      <w:szCs w:val="24"/>
    </w:rPr>
  </w:style>
  <w:style w:type="paragraph" w:styleId="ListBullet3">
    <w:name w:val="List Bullet 3"/>
    <w:autoRedefine/>
    <w:rsid w:val="00A7036C"/>
    <w:pPr>
      <w:numPr>
        <w:numId w:val="10"/>
      </w:numPr>
      <w:spacing w:before="120" w:after="120"/>
      <w:contextualSpacing/>
    </w:pPr>
    <w:rPr>
      <w:sz w:val="24"/>
      <w:szCs w:val="24"/>
    </w:rPr>
  </w:style>
  <w:style w:type="paragraph" w:styleId="ListBullet4">
    <w:name w:val="List Bullet 4"/>
    <w:autoRedefine/>
    <w:rsid w:val="00A7036C"/>
    <w:pPr>
      <w:numPr>
        <w:numId w:val="11"/>
      </w:numPr>
      <w:spacing w:before="120" w:after="120"/>
      <w:contextualSpacing/>
    </w:pPr>
    <w:rPr>
      <w:sz w:val="24"/>
      <w:szCs w:val="24"/>
    </w:rPr>
  </w:style>
  <w:style w:type="paragraph" w:styleId="ListBullet5">
    <w:name w:val="List Bullet 5"/>
    <w:autoRedefine/>
    <w:rsid w:val="00A7036C"/>
    <w:pPr>
      <w:numPr>
        <w:numId w:val="12"/>
      </w:numPr>
      <w:spacing w:before="120" w:after="120"/>
      <w:contextualSpacing/>
    </w:pPr>
    <w:rPr>
      <w:sz w:val="24"/>
      <w:szCs w:val="24"/>
    </w:rPr>
  </w:style>
  <w:style w:type="paragraph" w:styleId="Title">
    <w:name w:val="Title"/>
    <w:autoRedefine/>
    <w:qFormat/>
    <w:rsid w:val="00C476C0"/>
    <w:pPr>
      <w:spacing w:before="3000" w:after="120"/>
      <w:jc w:val="center"/>
      <w:outlineLvl w:val="0"/>
    </w:pPr>
    <w:rPr>
      <w:rFonts w:cs="Arial"/>
      <w:b/>
      <w:bCs/>
      <w:kern w:val="28"/>
      <w:sz w:val="36"/>
      <w:szCs w:val="32"/>
    </w:rPr>
  </w:style>
  <w:style w:type="paragraph" w:styleId="Subtitle">
    <w:name w:val="Subtitle"/>
    <w:autoRedefine/>
    <w:qFormat/>
    <w:rsid w:val="00EC022D"/>
    <w:pPr>
      <w:spacing w:after="2400"/>
      <w:jc w:val="center"/>
      <w:outlineLvl w:val="1"/>
    </w:pPr>
    <w:rPr>
      <w:rFonts w:cs="Arial"/>
      <w:sz w:val="36"/>
      <w:szCs w:val="24"/>
    </w:rPr>
  </w:style>
  <w:style w:type="paragraph" w:customStyle="1" w:styleId="Subtitle2">
    <w:name w:val="Subtitle 2"/>
    <w:autoRedefine/>
    <w:rsid w:val="00532672"/>
    <w:pPr>
      <w:spacing w:before="120" w:after="120"/>
      <w:jc w:val="center"/>
    </w:pPr>
    <w:rPr>
      <w:rFonts w:cs="Arial"/>
      <w:sz w:val="36"/>
      <w:szCs w:val="24"/>
    </w:rPr>
  </w:style>
  <w:style w:type="paragraph" w:styleId="Header">
    <w:name w:val="header"/>
    <w:autoRedefine/>
    <w:rsid w:val="00C530A5"/>
    <w:pPr>
      <w:tabs>
        <w:tab w:val="center" w:pos="4680"/>
        <w:tab w:val="right" w:pos="9360"/>
      </w:tabs>
    </w:pPr>
    <w:rPr>
      <w:sz w:val="24"/>
      <w:szCs w:val="24"/>
    </w:rPr>
  </w:style>
  <w:style w:type="paragraph" w:customStyle="1" w:styleId="Subtitle3">
    <w:name w:val="Subtitle 3"/>
    <w:autoRedefine/>
    <w:rsid w:val="00C56047"/>
    <w:pPr>
      <w:spacing w:before="960"/>
      <w:jc w:val="center"/>
    </w:pPr>
    <w:rPr>
      <w:rFonts w:cs="Arial"/>
      <w:sz w:val="28"/>
      <w:szCs w:val="28"/>
    </w:rPr>
  </w:style>
  <w:style w:type="paragraph" w:styleId="List3">
    <w:name w:val="List 3"/>
    <w:autoRedefine/>
    <w:rsid w:val="004E34BC"/>
    <w:pPr>
      <w:spacing w:before="360" w:after="360"/>
      <w:ind w:left="1080" w:hanging="360"/>
      <w:contextualSpacing/>
    </w:pPr>
    <w:rPr>
      <w:sz w:val="24"/>
      <w:szCs w:val="24"/>
    </w:rPr>
  </w:style>
  <w:style w:type="paragraph" w:styleId="List4">
    <w:name w:val="List 4"/>
    <w:autoRedefine/>
    <w:rsid w:val="004E34BC"/>
    <w:pPr>
      <w:spacing w:before="360" w:after="360"/>
      <w:ind w:left="1440" w:hanging="360"/>
      <w:contextualSpacing/>
    </w:pPr>
    <w:rPr>
      <w:sz w:val="24"/>
      <w:szCs w:val="24"/>
    </w:rPr>
  </w:style>
  <w:style w:type="paragraph" w:styleId="Signature">
    <w:name w:val="Signature"/>
    <w:autoRedefine/>
    <w:rsid w:val="00BA4687"/>
    <w:pPr>
      <w:spacing w:before="360" w:after="120"/>
      <w:ind w:left="3960"/>
      <w:contextualSpacing/>
    </w:pPr>
    <w:rPr>
      <w:sz w:val="24"/>
      <w:szCs w:val="24"/>
    </w:rPr>
  </w:style>
  <w:style w:type="character" w:styleId="PageNumber">
    <w:name w:val="page number"/>
    <w:basedOn w:val="DefaultParagraphFont"/>
    <w:rsid w:val="00905E9A"/>
  </w:style>
  <w:style w:type="paragraph" w:customStyle="1" w:styleId="BlockTextCite">
    <w:name w:val="Block Text Cite"/>
    <w:autoRedefine/>
    <w:rsid w:val="00515A0C"/>
    <w:pPr>
      <w:spacing w:before="120" w:after="360"/>
      <w:ind w:left="720" w:right="720"/>
      <w:jc w:val="right"/>
    </w:pPr>
    <w:rPr>
      <w:sz w:val="24"/>
      <w:szCs w:val="24"/>
    </w:rPr>
  </w:style>
  <w:style w:type="paragraph" w:customStyle="1" w:styleId="BlockTextSourceCite">
    <w:name w:val="Block Text Source Cite"/>
    <w:next w:val="BodyText"/>
    <w:autoRedefine/>
    <w:rsid w:val="00BA4687"/>
    <w:pPr>
      <w:spacing w:after="360"/>
      <w:ind w:left="2160" w:right="720"/>
      <w:contextualSpacing/>
      <w:jc w:val="right"/>
    </w:pPr>
    <w:rPr>
      <w:rFonts w:ascii="Arial" w:hAnsi="Arial"/>
      <w:szCs w:val="24"/>
    </w:rPr>
  </w:style>
  <w:style w:type="paragraph" w:styleId="TOC1">
    <w:name w:val="toc 1"/>
    <w:next w:val="Normal"/>
    <w:autoRedefine/>
    <w:semiHidden/>
    <w:rsid w:val="00A65FD1"/>
    <w:pPr>
      <w:tabs>
        <w:tab w:val="right" w:leader="dot" w:pos="9350"/>
      </w:tabs>
      <w:spacing w:before="120" w:after="120"/>
      <w:ind w:left="720" w:hanging="720"/>
    </w:pPr>
    <w:rPr>
      <w:sz w:val="24"/>
      <w:szCs w:val="24"/>
    </w:rPr>
  </w:style>
  <w:style w:type="paragraph" w:styleId="TOC2">
    <w:name w:val="toc 2"/>
    <w:next w:val="Normal"/>
    <w:autoRedefine/>
    <w:semiHidden/>
    <w:rsid w:val="00EC022D"/>
    <w:pPr>
      <w:spacing w:before="120" w:after="120"/>
      <w:ind w:left="720"/>
    </w:pPr>
    <w:rPr>
      <w:sz w:val="24"/>
      <w:szCs w:val="24"/>
    </w:rPr>
  </w:style>
  <w:style w:type="character" w:styleId="Hyperlink">
    <w:name w:val="Hyperlink"/>
    <w:basedOn w:val="DefaultParagraphFont"/>
    <w:rsid w:val="00B63034"/>
    <w:rPr>
      <w:color w:val="0000FF"/>
      <w:u w:val="single"/>
    </w:rPr>
  </w:style>
  <w:style w:type="paragraph" w:styleId="MessageHeader">
    <w:name w:val="Message Header"/>
    <w:autoRedefine/>
    <w:rsid w:val="00B31FC8"/>
    <w:pPr>
      <w:keepLines/>
      <w:spacing w:before="120" w:after="120"/>
      <w:ind w:left="1800" w:hanging="1080"/>
    </w:pPr>
    <w:rPr>
      <w:color w:val="000000"/>
      <w:sz w:val="24"/>
    </w:rPr>
  </w:style>
  <w:style w:type="paragraph" w:styleId="TOC3">
    <w:name w:val="toc 3"/>
    <w:next w:val="Normal"/>
    <w:autoRedefine/>
    <w:semiHidden/>
    <w:rsid w:val="00EC022D"/>
    <w:pPr>
      <w:spacing w:before="120" w:after="120"/>
      <w:ind w:left="1440"/>
    </w:pPr>
    <w:rPr>
      <w:sz w:val="24"/>
      <w:szCs w:val="24"/>
    </w:rPr>
  </w:style>
  <w:style w:type="paragraph" w:styleId="TOC4">
    <w:name w:val="toc 4"/>
    <w:basedOn w:val="Normal"/>
    <w:next w:val="Normal"/>
    <w:autoRedefine/>
    <w:semiHidden/>
    <w:rsid w:val="00EC022D"/>
    <w:pPr>
      <w:ind w:left="2160"/>
    </w:pPr>
  </w:style>
  <w:style w:type="paragraph" w:styleId="TOC5">
    <w:name w:val="toc 5"/>
    <w:next w:val="Normal"/>
    <w:autoRedefine/>
    <w:semiHidden/>
    <w:rsid w:val="00EC022D"/>
    <w:pPr>
      <w:spacing w:before="120" w:after="120"/>
      <w:ind w:left="2880"/>
    </w:pPr>
    <w:rPr>
      <w:sz w:val="24"/>
      <w:szCs w:val="24"/>
    </w:rPr>
  </w:style>
  <w:style w:type="paragraph" w:styleId="TOC6">
    <w:name w:val="toc 6"/>
    <w:next w:val="Normal"/>
    <w:autoRedefine/>
    <w:semiHidden/>
    <w:rsid w:val="00EC022D"/>
    <w:pPr>
      <w:tabs>
        <w:tab w:val="left" w:pos="5040"/>
        <w:tab w:val="right" w:leader="dot" w:pos="9350"/>
      </w:tabs>
      <w:spacing w:before="120" w:after="120"/>
      <w:ind w:left="4320" w:hanging="720"/>
    </w:pPr>
    <w:rPr>
      <w:sz w:val="24"/>
      <w:szCs w:val="24"/>
    </w:rPr>
  </w:style>
  <w:style w:type="paragraph" w:styleId="TOC7">
    <w:name w:val="toc 7"/>
    <w:next w:val="Normal"/>
    <w:autoRedefine/>
    <w:semiHidden/>
    <w:rsid w:val="00EC022D"/>
    <w:pPr>
      <w:tabs>
        <w:tab w:val="left" w:pos="720"/>
        <w:tab w:val="right" w:leader="dot" w:pos="9350"/>
      </w:tabs>
      <w:spacing w:before="120" w:after="120"/>
      <w:ind w:left="5040" w:hanging="720"/>
    </w:pPr>
    <w:rPr>
      <w:sz w:val="24"/>
      <w:szCs w:val="24"/>
    </w:rPr>
  </w:style>
  <w:style w:type="paragraph" w:styleId="TOC8">
    <w:name w:val="toc 8"/>
    <w:next w:val="Normal"/>
    <w:autoRedefine/>
    <w:semiHidden/>
    <w:rsid w:val="00EC022D"/>
    <w:pPr>
      <w:spacing w:before="120" w:after="120"/>
      <w:ind w:left="5040"/>
    </w:pPr>
    <w:rPr>
      <w:sz w:val="24"/>
      <w:szCs w:val="24"/>
    </w:rPr>
  </w:style>
  <w:style w:type="paragraph" w:styleId="TOC9">
    <w:name w:val="toc 9"/>
    <w:next w:val="Normal"/>
    <w:autoRedefine/>
    <w:semiHidden/>
    <w:rsid w:val="008018D9"/>
    <w:pPr>
      <w:spacing w:before="120" w:after="120"/>
      <w:ind w:left="6480" w:hanging="720"/>
    </w:pPr>
    <w:rPr>
      <w:sz w:val="24"/>
      <w:szCs w:val="24"/>
    </w:rPr>
  </w:style>
  <w:style w:type="character" w:customStyle="1" w:styleId="MessageHeaderLabel">
    <w:name w:val="Message Header Label"/>
    <w:rsid w:val="00B31FC8"/>
    <w:rPr>
      <w:b/>
      <w:caps/>
      <w:sz w:val="20"/>
    </w:rPr>
  </w:style>
  <w:style w:type="paragraph" w:customStyle="1" w:styleId="MemoHeader">
    <w:name w:val="Memo Header"/>
    <w:next w:val="Normal"/>
    <w:autoRedefine/>
    <w:rsid w:val="00063997"/>
    <w:pPr>
      <w:pBdr>
        <w:top w:val="double" w:sz="6" w:space="8" w:color="808080"/>
        <w:bottom w:val="double" w:sz="6" w:space="8" w:color="808080"/>
      </w:pBdr>
      <w:spacing w:after="480" w:line="240" w:lineRule="atLeast"/>
      <w:jc w:val="center"/>
    </w:pPr>
    <w:rPr>
      <w:rFonts w:ascii="Garamond" w:hAnsi="Garamond"/>
      <w:b/>
      <w:caps/>
      <w:spacing w:val="20"/>
    </w:rPr>
  </w:style>
  <w:style w:type="paragraph" w:styleId="BodyText3">
    <w:name w:val="Body Text 3"/>
    <w:autoRedefine/>
    <w:rsid w:val="008652A3"/>
    <w:rPr>
      <w:sz w:val="24"/>
      <w:szCs w:val="16"/>
    </w:rPr>
  </w:style>
  <w:style w:type="paragraph" w:customStyle="1" w:styleId="CVBodytwo">
    <w:name w:val="CV_Bodytwo"/>
    <w:autoRedefine/>
    <w:rsid w:val="00D61A0C"/>
    <w:pPr>
      <w:tabs>
        <w:tab w:val="right" w:pos="9360"/>
      </w:tabs>
      <w:spacing w:before="120" w:after="60"/>
      <w:ind w:left="360"/>
    </w:pPr>
    <w:rPr>
      <w:sz w:val="22"/>
    </w:rPr>
  </w:style>
  <w:style w:type="paragraph" w:customStyle="1" w:styleId="CVBody">
    <w:name w:val="CV_Body"/>
    <w:rsid w:val="00D61A0C"/>
    <w:pPr>
      <w:tabs>
        <w:tab w:val="left" w:pos="1440"/>
        <w:tab w:val="right" w:pos="9360"/>
      </w:tabs>
      <w:spacing w:before="200" w:after="40"/>
    </w:pPr>
    <w:rPr>
      <w:sz w:val="22"/>
    </w:rPr>
  </w:style>
  <w:style w:type="paragraph" w:customStyle="1" w:styleId="CVBody1stIndent">
    <w:name w:val="CV_Body1stIndent"/>
    <w:autoRedefine/>
    <w:rsid w:val="005031EC"/>
    <w:pPr>
      <w:tabs>
        <w:tab w:val="left" w:pos="1440"/>
      </w:tabs>
      <w:spacing w:before="40" w:after="40"/>
      <w:ind w:left="720" w:right="-90"/>
      <w:contextualSpacing/>
    </w:pPr>
    <w:rPr>
      <w:sz w:val="22"/>
    </w:rPr>
  </w:style>
  <w:style w:type="paragraph" w:customStyle="1" w:styleId="CVFooter">
    <w:name w:val="CV_Footer"/>
    <w:autoRedefine/>
    <w:rsid w:val="00D61A0C"/>
    <w:pPr>
      <w:tabs>
        <w:tab w:val="center" w:pos="4680"/>
        <w:tab w:val="right" w:pos="9360"/>
      </w:tabs>
    </w:pPr>
    <w:rPr>
      <w:rFonts w:ascii="Arial" w:hAnsi="Arial"/>
      <w:sz w:val="18"/>
      <w:szCs w:val="18"/>
    </w:rPr>
  </w:style>
  <w:style w:type="paragraph" w:customStyle="1" w:styleId="CVHeader">
    <w:name w:val="CV_Header"/>
    <w:autoRedefine/>
    <w:rsid w:val="00D61A0C"/>
    <w:pPr>
      <w:jc w:val="right"/>
    </w:pPr>
    <w:rPr>
      <w:b/>
      <w:spacing w:val="20"/>
      <w:sz w:val="26"/>
    </w:rPr>
  </w:style>
  <w:style w:type="paragraph" w:customStyle="1" w:styleId="CVJobTitle">
    <w:name w:val="CV_JobTitle"/>
    <w:autoRedefine/>
    <w:rsid w:val="00D61A0C"/>
    <w:pPr>
      <w:ind w:left="1440"/>
    </w:pPr>
    <w:rPr>
      <w:i/>
      <w:iCs/>
      <w:sz w:val="22"/>
    </w:rPr>
  </w:style>
  <w:style w:type="paragraph" w:customStyle="1" w:styleId="CVName">
    <w:name w:val="CV_Name"/>
    <w:autoRedefine/>
    <w:rsid w:val="006F1DB6"/>
    <w:pPr>
      <w:jc w:val="center"/>
    </w:pPr>
    <w:rPr>
      <w:b/>
      <w:spacing w:val="20"/>
      <w:sz w:val="26"/>
    </w:rPr>
  </w:style>
  <w:style w:type="paragraph" w:customStyle="1" w:styleId="CVSectionHeader">
    <w:name w:val="CV_SectionHeader"/>
    <w:autoRedefine/>
    <w:rsid w:val="00D61A0C"/>
    <w:pPr>
      <w:spacing w:before="320" w:after="60"/>
    </w:pPr>
    <w:rPr>
      <w:b/>
      <w:caps/>
      <w:sz w:val="22"/>
    </w:rPr>
  </w:style>
  <w:style w:type="paragraph" w:customStyle="1" w:styleId="CVHeading3">
    <w:name w:val="CV_Heading3"/>
    <w:autoRedefine/>
    <w:rsid w:val="00D61A0C"/>
    <w:pPr>
      <w:spacing w:before="120"/>
      <w:jc w:val="center"/>
    </w:pPr>
    <w:rPr>
      <w:b/>
    </w:rPr>
  </w:style>
  <w:style w:type="character" w:styleId="UnresolvedMention">
    <w:name w:val="Unresolved Mention"/>
    <w:basedOn w:val="DefaultParagraphFont"/>
    <w:uiPriority w:val="99"/>
    <w:semiHidden/>
    <w:unhideWhenUsed/>
    <w:rsid w:val="00E10F82"/>
    <w:rPr>
      <w:color w:val="605E5C"/>
      <w:shd w:val="clear" w:color="auto" w:fill="E1DFDD"/>
    </w:rPr>
  </w:style>
  <w:style w:type="character" w:styleId="FollowedHyperlink">
    <w:name w:val="FollowedHyperlink"/>
    <w:basedOn w:val="DefaultParagraphFont"/>
    <w:rsid w:val="00EC3E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7887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hall390@gatech.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josephphal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Hall\AppData\Local\Temp\CRB%20CV%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C:\Users\JHall\AppData\Local\Temp\CRB CV Template.dot</Template>
  <TotalTime>35</TotalTime>
  <Pages>4</Pages>
  <Words>1436</Words>
  <Characters>8190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I</vt:lpstr>
    </vt:vector>
  </TitlesOfParts>
  <Company>Cornerstone Research</Company>
  <LinksUpToDate>false</LinksUpToDate>
  <CharactersWithSpaces>9607</CharactersWithSpaces>
  <SharedDoc>false</SharedDoc>
  <HLinks>
    <vt:vector size="6" baseType="variant">
      <vt:variant>
        <vt:i4>589862</vt:i4>
      </vt:variant>
      <vt:variant>
        <vt:i4>0</vt:i4>
      </vt:variant>
      <vt:variant>
        <vt:i4>0</vt:i4>
      </vt:variant>
      <vt:variant>
        <vt:i4>5</vt:i4>
      </vt:variant>
      <vt:variant>
        <vt:lpwstr>mailto:email@cornerstone.com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subject/>
  <dc:creator>Joseph Hall</dc:creator>
  <cp:keywords/>
  <dc:description/>
  <cp:lastModifiedBy>Hall, Joseph P</cp:lastModifiedBy>
  <cp:revision>56</cp:revision>
  <cp:lastPrinted>2005-12-20T20:02:00Z</cp:lastPrinted>
  <dcterms:created xsi:type="dcterms:W3CDTF">2023-12-18T02:27:00Z</dcterms:created>
  <dcterms:modified xsi:type="dcterms:W3CDTF">2025-11-10T16:30:00Z</dcterms:modified>
</cp:coreProperties>
</file>